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57153A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57153A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57153A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C063DC">
        <w:rPr>
          <w:rFonts w:ascii="Arial" w:hAnsi="Arial" w:cs="Arial"/>
          <w:b/>
          <w:spacing w:val="1"/>
          <w:sz w:val="28"/>
          <w:szCs w:val="28"/>
        </w:rPr>
        <w:t>17</w:t>
      </w:r>
      <w:r w:rsidR="00EB5698" w:rsidRPr="0057153A">
        <w:rPr>
          <w:rFonts w:ascii="Arial" w:hAnsi="Arial" w:cs="Arial"/>
          <w:b/>
          <w:spacing w:val="1"/>
          <w:sz w:val="28"/>
          <w:szCs w:val="28"/>
        </w:rPr>
        <w:t>.</w:t>
      </w:r>
      <w:r w:rsidR="00C063DC">
        <w:rPr>
          <w:rFonts w:ascii="Arial" w:hAnsi="Arial" w:cs="Arial"/>
          <w:b/>
          <w:spacing w:val="1"/>
          <w:sz w:val="28"/>
          <w:szCs w:val="28"/>
        </w:rPr>
        <w:t>03</w:t>
      </w:r>
      <w:r w:rsidR="007625C8" w:rsidRPr="0057153A">
        <w:rPr>
          <w:rFonts w:ascii="Arial" w:hAnsi="Arial" w:cs="Arial"/>
          <w:b/>
          <w:spacing w:val="1"/>
          <w:sz w:val="28"/>
          <w:szCs w:val="28"/>
        </w:rPr>
        <w:t>.20</w:t>
      </w:r>
      <w:r w:rsidR="00730F8A">
        <w:rPr>
          <w:rFonts w:ascii="Arial" w:hAnsi="Arial" w:cs="Arial"/>
          <w:b/>
          <w:spacing w:val="1"/>
          <w:sz w:val="28"/>
          <w:szCs w:val="28"/>
        </w:rPr>
        <w:t>15</w:t>
      </w:r>
    </w:p>
    <w:p w:rsidR="007625C8" w:rsidRPr="008D45D8" w:rsidRDefault="007625C8" w:rsidP="007625C8"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 w:rsidR="00D92B7B" w:rsidRDefault="00EB5698" w:rsidP="008D45D8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8D45D8">
        <w:rPr>
          <w:rFonts w:ascii="Arial" w:hAnsi="Arial" w:cs="Arial"/>
          <w:sz w:val="28"/>
          <w:szCs w:val="28"/>
        </w:rPr>
        <w:t>Wöhr</w:t>
      </w:r>
      <w:r w:rsidR="00A95460">
        <w:rPr>
          <w:rFonts w:ascii="Arial" w:hAnsi="Arial" w:cs="Arial"/>
          <w:sz w:val="28"/>
          <w:szCs w:val="28"/>
        </w:rPr>
        <w:t xml:space="preserve">® </w:t>
      </w:r>
      <w:r w:rsidR="00730F8A">
        <w:rPr>
          <w:rFonts w:ascii="Arial" w:hAnsi="Arial" w:cs="Arial"/>
          <w:sz w:val="28"/>
          <w:szCs w:val="28"/>
        </w:rPr>
        <w:t>erweitert</w:t>
      </w:r>
      <w:r w:rsidR="00EE5875">
        <w:rPr>
          <w:rFonts w:ascii="Arial" w:hAnsi="Arial" w:cs="Arial"/>
          <w:sz w:val="28"/>
          <w:szCs w:val="28"/>
        </w:rPr>
        <w:t xml:space="preserve"> sein</w:t>
      </w:r>
      <w:r w:rsidR="000C53F7">
        <w:rPr>
          <w:rFonts w:ascii="Arial" w:hAnsi="Arial" w:cs="Arial"/>
          <w:sz w:val="28"/>
          <w:szCs w:val="28"/>
        </w:rPr>
        <w:t xml:space="preserve"> Sortiment um</w:t>
      </w:r>
      <w:r w:rsidR="00742196">
        <w:rPr>
          <w:rFonts w:ascii="Arial" w:hAnsi="Arial" w:cs="Arial"/>
          <w:sz w:val="28"/>
          <w:szCs w:val="28"/>
        </w:rPr>
        <w:t xml:space="preserve"> Standard-</w:t>
      </w:r>
      <w:r w:rsidR="000C53F7">
        <w:rPr>
          <w:rFonts w:ascii="Arial" w:hAnsi="Arial" w:cs="Arial"/>
          <w:sz w:val="28"/>
          <w:szCs w:val="28"/>
        </w:rPr>
        <w:t xml:space="preserve"> </w:t>
      </w:r>
      <w:r w:rsidR="008B538E">
        <w:rPr>
          <w:rFonts w:ascii="Arial" w:hAnsi="Arial" w:cs="Arial"/>
          <w:sz w:val="28"/>
          <w:szCs w:val="28"/>
        </w:rPr>
        <w:t>Hutschienengehäuse aus Aluminium</w:t>
      </w:r>
    </w:p>
    <w:p w:rsidR="00EB5698" w:rsidRPr="00D92B7B" w:rsidRDefault="00730F8A" w:rsidP="00D92B7B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730F8A">
        <w:rPr>
          <w:rFonts w:ascii="Arial" w:hAnsi="Arial" w:cs="Arial"/>
          <w:sz w:val="22"/>
          <w:szCs w:val="22"/>
        </w:rPr>
        <w:t xml:space="preserve">Standardmäßig </w:t>
      </w:r>
      <w:r w:rsidR="00742196">
        <w:rPr>
          <w:rFonts w:ascii="Arial" w:hAnsi="Arial" w:cs="Arial"/>
          <w:sz w:val="22"/>
          <w:szCs w:val="22"/>
        </w:rPr>
        <w:t>sind</w:t>
      </w:r>
      <w:r w:rsidR="00C063DC">
        <w:rPr>
          <w:rFonts w:ascii="Arial" w:hAnsi="Arial" w:cs="Arial"/>
          <w:sz w:val="22"/>
          <w:szCs w:val="22"/>
        </w:rPr>
        <w:t xml:space="preserve"> sechs</w:t>
      </w:r>
      <w:r w:rsidR="00360BEA">
        <w:rPr>
          <w:rFonts w:ascii="Arial" w:hAnsi="Arial" w:cs="Arial"/>
          <w:sz w:val="22"/>
          <w:szCs w:val="22"/>
        </w:rPr>
        <w:t xml:space="preserve"> </w:t>
      </w:r>
      <w:r w:rsidR="00C063DC">
        <w:rPr>
          <w:rFonts w:ascii="Arial" w:hAnsi="Arial" w:cs="Arial"/>
          <w:sz w:val="22"/>
          <w:szCs w:val="22"/>
        </w:rPr>
        <w:t>verschiedenen Versionen in den Modulbreiten von eins bis neun</w:t>
      </w:r>
      <w:r w:rsidR="008B538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42196">
        <w:rPr>
          <w:rFonts w:ascii="Arial" w:hAnsi="Arial" w:cs="Arial"/>
          <w:sz w:val="22"/>
          <w:szCs w:val="22"/>
        </w:rPr>
        <w:t xml:space="preserve">Seitenplatten in </w:t>
      </w:r>
      <w:r>
        <w:rPr>
          <w:rFonts w:ascii="Arial" w:hAnsi="Arial" w:cs="Arial"/>
          <w:sz w:val="22"/>
          <w:szCs w:val="22"/>
        </w:rPr>
        <w:t>verschiedene</w:t>
      </w:r>
      <w:r w:rsidR="00742196">
        <w:rPr>
          <w:rFonts w:ascii="Arial" w:hAnsi="Arial" w:cs="Arial"/>
          <w:sz w:val="22"/>
          <w:szCs w:val="22"/>
        </w:rPr>
        <w:t>n Fa</w:t>
      </w:r>
      <w:r w:rsidR="00D92B7B">
        <w:rPr>
          <w:rFonts w:ascii="Arial" w:hAnsi="Arial" w:cs="Arial"/>
          <w:sz w:val="22"/>
          <w:szCs w:val="22"/>
        </w:rPr>
        <w:t xml:space="preserve">rben und </w:t>
      </w:r>
      <w:r w:rsidR="00742196">
        <w:rPr>
          <w:rFonts w:ascii="Arial" w:hAnsi="Arial" w:cs="Arial"/>
          <w:sz w:val="22"/>
          <w:szCs w:val="22"/>
        </w:rPr>
        <w:t>eine</w:t>
      </w:r>
      <w:r w:rsidR="00A1260E">
        <w:rPr>
          <w:rFonts w:ascii="Arial" w:hAnsi="Arial" w:cs="Arial"/>
          <w:sz w:val="22"/>
          <w:szCs w:val="22"/>
        </w:rPr>
        <w:t xml:space="preserve"> separate Dichtung </w:t>
      </w:r>
      <w:r w:rsidR="00742196">
        <w:rPr>
          <w:rFonts w:ascii="Arial" w:hAnsi="Arial" w:cs="Arial"/>
          <w:sz w:val="22"/>
          <w:szCs w:val="22"/>
        </w:rPr>
        <w:t xml:space="preserve">zur Erreichung der Schutzart IP66 </w:t>
      </w:r>
      <w:r w:rsidR="00D92B7B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>hältlich.</w:t>
      </w:r>
      <w:r w:rsidR="00766A07">
        <w:rPr>
          <w:rFonts w:ascii="Arial" w:hAnsi="Arial" w:cs="Arial"/>
          <w:sz w:val="28"/>
          <w:szCs w:val="28"/>
        </w:rPr>
        <w:t xml:space="preserve">  </w:t>
      </w:r>
    </w:p>
    <w:p w:rsidR="00447DE4" w:rsidRDefault="00EB5698" w:rsidP="00E37689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>D</w:t>
      </w:r>
      <w:r w:rsidR="00360BEA">
        <w:rPr>
          <w:rFonts w:ascii="Arial" w:hAnsi="Arial" w:cs="Arial"/>
        </w:rPr>
        <w:t xml:space="preserve">ie Richard Wöhr GmbH erweitert ihr </w:t>
      </w:r>
      <w:r w:rsidR="00E7639A">
        <w:rPr>
          <w:rFonts w:ascii="Arial" w:hAnsi="Arial" w:cs="Arial"/>
        </w:rPr>
        <w:t>Hutschieneng</w:t>
      </w:r>
      <w:r w:rsidR="00360BEA">
        <w:rPr>
          <w:rFonts w:ascii="Arial" w:hAnsi="Arial" w:cs="Arial"/>
        </w:rPr>
        <w:t>ehäuse</w:t>
      </w:r>
      <w:r w:rsidR="00E04CC0">
        <w:rPr>
          <w:rFonts w:ascii="Arial" w:hAnsi="Arial" w:cs="Arial"/>
        </w:rPr>
        <w:t>-</w:t>
      </w:r>
      <w:r w:rsidR="00640C04">
        <w:rPr>
          <w:rFonts w:ascii="Arial" w:hAnsi="Arial" w:cs="Arial"/>
        </w:rPr>
        <w:t>P</w:t>
      </w:r>
      <w:r w:rsidR="00360BEA">
        <w:rPr>
          <w:rFonts w:ascii="Arial" w:hAnsi="Arial" w:cs="Arial"/>
        </w:rPr>
        <w:t xml:space="preserve">rogramm um die </w:t>
      </w:r>
      <w:r w:rsidR="00E7639A">
        <w:rPr>
          <w:rFonts w:ascii="Arial" w:hAnsi="Arial" w:cs="Arial"/>
        </w:rPr>
        <w:t>Aluminium</w:t>
      </w:r>
      <w:r w:rsidR="00360BEA">
        <w:rPr>
          <w:rFonts w:ascii="Arial" w:hAnsi="Arial" w:cs="Arial"/>
        </w:rPr>
        <w:t>serie GH02</w:t>
      </w:r>
      <w:r w:rsidR="00E7639A">
        <w:rPr>
          <w:rFonts w:ascii="Arial" w:hAnsi="Arial" w:cs="Arial"/>
        </w:rPr>
        <w:t>HSAL</w:t>
      </w:r>
      <w:r w:rsidR="000330A9">
        <w:rPr>
          <w:rFonts w:ascii="Arial" w:hAnsi="Arial" w:cs="Arial"/>
        </w:rPr>
        <w:t>, w</w:t>
      </w:r>
      <w:r w:rsidR="0015293D">
        <w:rPr>
          <w:rFonts w:ascii="Arial" w:hAnsi="Arial" w:cs="Arial"/>
        </w:rPr>
        <w:t>elche passend für Hutsc</w:t>
      </w:r>
      <w:r w:rsidR="000330A9">
        <w:rPr>
          <w:rFonts w:ascii="Arial" w:hAnsi="Arial" w:cs="Arial"/>
        </w:rPr>
        <w:t xml:space="preserve">hienen DIN EN60715 </w:t>
      </w:r>
      <w:r w:rsidR="00640C04">
        <w:rPr>
          <w:rFonts w:ascii="Arial" w:hAnsi="Arial" w:cs="Arial"/>
        </w:rPr>
        <w:br/>
      </w:r>
      <w:r w:rsidR="000330A9">
        <w:rPr>
          <w:rFonts w:ascii="Arial" w:hAnsi="Arial" w:cs="Arial"/>
        </w:rPr>
        <w:t>(35,0</w:t>
      </w:r>
      <w:r w:rsidR="00640C04">
        <w:rPr>
          <w:rFonts w:ascii="Arial" w:hAnsi="Arial" w:cs="Arial"/>
        </w:rPr>
        <w:t xml:space="preserve"> </w:t>
      </w:r>
      <w:r w:rsidR="000330A9">
        <w:rPr>
          <w:rFonts w:ascii="Arial" w:hAnsi="Arial" w:cs="Arial"/>
        </w:rPr>
        <w:t>mm) ist</w:t>
      </w:r>
      <w:r w:rsidR="00360BEA">
        <w:rPr>
          <w:rFonts w:ascii="Arial" w:hAnsi="Arial" w:cs="Arial"/>
        </w:rPr>
        <w:t>. Die Gehäuse</w:t>
      </w:r>
      <w:r w:rsidR="00D92B7B">
        <w:rPr>
          <w:rFonts w:ascii="Arial" w:hAnsi="Arial" w:cs="Arial"/>
        </w:rPr>
        <w:t xml:space="preserve"> aus</w:t>
      </w:r>
      <w:r w:rsidR="00453F96">
        <w:rPr>
          <w:rFonts w:ascii="Arial" w:hAnsi="Arial" w:cs="Arial"/>
        </w:rPr>
        <w:t xml:space="preserve"> A</w:t>
      </w:r>
      <w:r w:rsidR="00E7639A">
        <w:rPr>
          <w:rFonts w:ascii="Arial" w:hAnsi="Arial" w:cs="Arial"/>
        </w:rPr>
        <w:t xml:space="preserve">luminium </w:t>
      </w:r>
      <w:r w:rsidR="00360BEA">
        <w:rPr>
          <w:rFonts w:ascii="Arial" w:hAnsi="Arial" w:cs="Arial"/>
        </w:rPr>
        <w:t>können in einem Temperaturbereich von</w:t>
      </w:r>
      <w:r w:rsidR="00E7639A">
        <w:rPr>
          <w:rFonts w:ascii="Arial" w:hAnsi="Arial" w:cs="Arial"/>
        </w:rPr>
        <w:t xml:space="preserve"> </w:t>
      </w:r>
      <w:r w:rsidR="00360BEA">
        <w:rPr>
          <w:rFonts w:ascii="Arial" w:hAnsi="Arial" w:cs="Arial"/>
        </w:rPr>
        <w:t>-20</w:t>
      </w:r>
      <w:r w:rsidR="00D92B7B">
        <w:rPr>
          <w:rFonts w:ascii="Arial" w:hAnsi="Arial" w:cs="Arial"/>
        </w:rPr>
        <w:t xml:space="preserve"> °C</w:t>
      </w:r>
      <w:r w:rsidR="00360BEA">
        <w:rPr>
          <w:rFonts w:ascii="Arial" w:hAnsi="Arial" w:cs="Arial"/>
        </w:rPr>
        <w:t xml:space="preserve"> bis hin zu +90</w:t>
      </w:r>
      <w:r w:rsidR="00D92B7B">
        <w:rPr>
          <w:rFonts w:ascii="Arial" w:hAnsi="Arial" w:cs="Arial"/>
        </w:rPr>
        <w:t xml:space="preserve"> </w:t>
      </w:r>
      <w:r w:rsidR="00360BEA">
        <w:rPr>
          <w:rFonts w:ascii="Arial" w:hAnsi="Arial" w:cs="Arial"/>
        </w:rPr>
        <w:t xml:space="preserve">°C eingesetzt </w:t>
      </w:r>
      <w:r w:rsidR="000B4A80">
        <w:rPr>
          <w:rFonts w:ascii="Arial" w:hAnsi="Arial" w:cs="Arial"/>
        </w:rPr>
        <w:t>werden</w:t>
      </w:r>
      <w:r w:rsidR="00DB22C8">
        <w:rPr>
          <w:rFonts w:ascii="Arial" w:hAnsi="Arial" w:cs="Arial"/>
        </w:rPr>
        <w:t>.</w:t>
      </w:r>
      <w:r w:rsidR="00360BEA">
        <w:rPr>
          <w:rFonts w:ascii="Arial" w:hAnsi="Arial" w:cs="Arial"/>
        </w:rPr>
        <w:t xml:space="preserve"> </w:t>
      </w:r>
      <w:r w:rsidR="00E7639A">
        <w:rPr>
          <w:rFonts w:ascii="Arial" w:hAnsi="Arial" w:cs="Arial"/>
        </w:rPr>
        <w:t xml:space="preserve">Standardmäßig sind die Hutschienengehäuse </w:t>
      </w:r>
      <w:r w:rsidR="000B4A80">
        <w:rPr>
          <w:rFonts w:ascii="Arial" w:hAnsi="Arial" w:cs="Arial"/>
        </w:rPr>
        <w:t>in</w:t>
      </w:r>
      <w:r w:rsidR="00453F96">
        <w:rPr>
          <w:rFonts w:ascii="Arial" w:hAnsi="Arial" w:cs="Arial"/>
        </w:rPr>
        <w:t xml:space="preserve"> den Farben</w:t>
      </w:r>
      <w:r w:rsidR="000B4A80">
        <w:rPr>
          <w:rFonts w:ascii="Arial" w:hAnsi="Arial" w:cs="Arial"/>
        </w:rPr>
        <w:t xml:space="preserve"> </w:t>
      </w:r>
      <w:r w:rsidR="00E7639A">
        <w:rPr>
          <w:rFonts w:ascii="Arial" w:hAnsi="Arial" w:cs="Arial"/>
        </w:rPr>
        <w:t>grau und</w:t>
      </w:r>
      <w:r w:rsidR="000330A9">
        <w:rPr>
          <w:rFonts w:ascii="Arial" w:hAnsi="Arial" w:cs="Arial"/>
        </w:rPr>
        <w:t xml:space="preserve"> schwarz</w:t>
      </w:r>
      <w:r w:rsidR="000B4A80">
        <w:rPr>
          <w:rFonts w:ascii="Arial" w:hAnsi="Arial" w:cs="Arial"/>
        </w:rPr>
        <w:t xml:space="preserve"> </w:t>
      </w:r>
      <w:r w:rsidR="00360BEA">
        <w:rPr>
          <w:rFonts w:ascii="Arial" w:hAnsi="Arial" w:cs="Arial"/>
        </w:rPr>
        <w:t>erhältlich</w:t>
      </w:r>
      <w:r w:rsidR="000330A9">
        <w:rPr>
          <w:rFonts w:ascii="Arial" w:hAnsi="Arial" w:cs="Arial"/>
        </w:rPr>
        <w:t>.</w:t>
      </w:r>
      <w:r w:rsidR="00453F96">
        <w:rPr>
          <w:rFonts w:ascii="Arial" w:hAnsi="Arial" w:cs="Arial"/>
        </w:rPr>
        <w:t xml:space="preserve"> </w:t>
      </w:r>
      <w:r w:rsidR="000330A9">
        <w:rPr>
          <w:rFonts w:ascii="Arial" w:hAnsi="Arial" w:cs="Arial"/>
        </w:rPr>
        <w:t>D</w:t>
      </w:r>
      <w:r w:rsidR="00E7639A">
        <w:rPr>
          <w:rFonts w:ascii="Arial" w:hAnsi="Arial" w:cs="Arial"/>
        </w:rPr>
        <w:t xml:space="preserve">ie Seitenplatten </w:t>
      </w:r>
      <w:r w:rsidR="004A0749">
        <w:rPr>
          <w:rFonts w:ascii="Arial" w:hAnsi="Arial" w:cs="Arial"/>
        </w:rPr>
        <w:t>gibt es zusätzlich</w:t>
      </w:r>
      <w:r w:rsidR="00E7639A">
        <w:rPr>
          <w:rFonts w:ascii="Arial" w:hAnsi="Arial" w:cs="Arial"/>
        </w:rPr>
        <w:t xml:space="preserve"> </w:t>
      </w:r>
      <w:r w:rsidR="00C6280C">
        <w:rPr>
          <w:rFonts w:ascii="Arial" w:hAnsi="Arial" w:cs="Arial"/>
        </w:rPr>
        <w:t xml:space="preserve">aus Kunststoff </w:t>
      </w:r>
      <w:r w:rsidR="00E7639A">
        <w:rPr>
          <w:rFonts w:ascii="Arial" w:hAnsi="Arial" w:cs="Arial"/>
        </w:rPr>
        <w:t xml:space="preserve">in </w:t>
      </w:r>
      <w:r w:rsidR="00736391">
        <w:rPr>
          <w:rFonts w:ascii="Arial" w:hAnsi="Arial" w:cs="Arial"/>
        </w:rPr>
        <w:t xml:space="preserve">UL94-V0 transparent </w:t>
      </w:r>
      <w:r w:rsidR="00E7639A">
        <w:rPr>
          <w:rFonts w:ascii="Arial" w:hAnsi="Arial" w:cs="Arial"/>
        </w:rPr>
        <w:t xml:space="preserve">und </w:t>
      </w:r>
      <w:r w:rsidR="00736391">
        <w:rPr>
          <w:rFonts w:ascii="Arial" w:hAnsi="Arial" w:cs="Arial"/>
        </w:rPr>
        <w:t>UL94-V0 rot transparent</w:t>
      </w:r>
      <w:r w:rsidR="00C6280C">
        <w:rPr>
          <w:rFonts w:ascii="Arial" w:hAnsi="Arial" w:cs="Arial"/>
        </w:rPr>
        <w:t>, auf Anfrage sind diese auch aus Aluminium erhältlich.</w:t>
      </w:r>
      <w:r w:rsidR="00736391">
        <w:rPr>
          <w:rFonts w:ascii="Arial" w:hAnsi="Arial" w:cs="Arial"/>
        </w:rPr>
        <w:t xml:space="preserve"> J</w:t>
      </w:r>
      <w:r w:rsidR="00DB22C8">
        <w:rPr>
          <w:rFonts w:ascii="Arial" w:hAnsi="Arial" w:cs="Arial"/>
        </w:rPr>
        <w:t xml:space="preserve">ede weitere Farbe </w:t>
      </w:r>
      <w:r w:rsidR="00736391">
        <w:rPr>
          <w:rFonts w:ascii="Arial" w:hAnsi="Arial" w:cs="Arial"/>
        </w:rPr>
        <w:t xml:space="preserve">kann </w:t>
      </w:r>
      <w:r w:rsidR="000B4A80">
        <w:rPr>
          <w:rFonts w:ascii="Arial" w:hAnsi="Arial" w:cs="Arial"/>
        </w:rPr>
        <w:t xml:space="preserve">gemäß Kundenwunsch </w:t>
      </w:r>
      <w:r w:rsidR="00736391">
        <w:rPr>
          <w:rFonts w:ascii="Arial" w:hAnsi="Arial" w:cs="Arial"/>
        </w:rPr>
        <w:t xml:space="preserve">ebenso </w:t>
      </w:r>
      <w:r w:rsidR="00DB22C8">
        <w:rPr>
          <w:rFonts w:ascii="Arial" w:hAnsi="Arial" w:cs="Arial"/>
        </w:rPr>
        <w:t>realisiert</w:t>
      </w:r>
      <w:r w:rsidR="000B4A80">
        <w:rPr>
          <w:rFonts w:ascii="Arial" w:hAnsi="Arial" w:cs="Arial"/>
        </w:rPr>
        <w:t xml:space="preserve"> werden.</w:t>
      </w:r>
      <w:r w:rsidR="004A0749">
        <w:rPr>
          <w:rFonts w:ascii="Arial" w:hAnsi="Arial" w:cs="Arial"/>
        </w:rPr>
        <w:t xml:space="preserve"> Die Gehäuse sind mit und ohne zusätzlicher Dichtung erhältlich. Mit Dichtung</w:t>
      </w:r>
      <w:r w:rsidR="00E04CC0">
        <w:rPr>
          <w:rFonts w:ascii="Arial" w:hAnsi="Arial" w:cs="Arial"/>
        </w:rPr>
        <w:t xml:space="preserve"> und Kunststoffseitenplatten</w:t>
      </w:r>
      <w:r w:rsidR="004A0749">
        <w:rPr>
          <w:rFonts w:ascii="Arial" w:hAnsi="Arial" w:cs="Arial"/>
        </w:rPr>
        <w:t xml:space="preserve"> wird das Gehäuse gemäß Schutzart IP66 wasser- und staubdicht.</w:t>
      </w:r>
      <w:r w:rsidR="00B367A1">
        <w:rPr>
          <w:rFonts w:ascii="Arial" w:hAnsi="Arial" w:cs="Arial"/>
        </w:rPr>
        <w:t xml:space="preserve"> </w:t>
      </w:r>
    </w:p>
    <w:p w:rsidR="00EB5698" w:rsidRPr="003E74BD" w:rsidRDefault="0073734C" w:rsidP="003E74BD">
      <w:pPr>
        <w:spacing w:after="0"/>
        <w:jc w:val="both"/>
        <w:rPr>
          <w:rFonts w:ascii="Arial" w:hAnsi="Arial" w:cs="Arial"/>
          <w:strike/>
        </w:rPr>
      </w:pPr>
      <w:r w:rsidRPr="000B4A80">
        <w:rPr>
          <w:rFonts w:ascii="Arial" w:hAnsi="Arial" w:cs="Arial"/>
          <w:strike/>
        </w:rPr>
        <w:br/>
      </w:r>
      <w:r w:rsidR="00EB5698" w:rsidRPr="008D45D8">
        <w:rPr>
          <w:rFonts w:ascii="Arial" w:hAnsi="Arial" w:cs="Arial"/>
          <w:b/>
        </w:rPr>
        <w:t xml:space="preserve">Technische Daten: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4"/>
        <w:gridCol w:w="5920"/>
      </w:tblGrid>
      <w:tr w:rsidR="00420C12" w:rsidTr="005001F3">
        <w:tc>
          <w:tcPr>
            <w:tcW w:w="0" w:type="auto"/>
          </w:tcPr>
          <w:p w:rsidR="00420C12" w:rsidRPr="005001F3" w:rsidRDefault="00420C12" w:rsidP="00856E9E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Material</w:t>
            </w:r>
          </w:p>
        </w:tc>
        <w:tc>
          <w:tcPr>
            <w:tcW w:w="0" w:type="auto"/>
          </w:tcPr>
          <w:p w:rsidR="00420C12" w:rsidRPr="005001F3" w:rsidRDefault="00420C12" w:rsidP="00A708A7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 xml:space="preserve">Gehäuse aus </w:t>
            </w:r>
            <w:r>
              <w:rPr>
                <w:rFonts w:ascii="Arial" w:hAnsi="Arial" w:cs="Arial"/>
              </w:rPr>
              <w:t xml:space="preserve">Aluminium, Seitenplatten aus Polycarbonat </w:t>
            </w:r>
            <w:r w:rsidR="00A708A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auf Anfrage aus Aluminium</w:t>
            </w:r>
            <w:r w:rsidRPr="005001F3">
              <w:rPr>
                <w:rFonts w:ascii="Arial" w:hAnsi="Arial" w:cs="Arial"/>
              </w:rPr>
              <w:t xml:space="preserve">  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Schutzart:</w:t>
            </w:r>
          </w:p>
        </w:tc>
        <w:tc>
          <w:tcPr>
            <w:tcW w:w="0" w:type="auto"/>
            <w:hideMark/>
          </w:tcPr>
          <w:p w:rsidR="0029388A" w:rsidRDefault="00F970ED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 4</w:t>
            </w:r>
            <w:r w:rsidR="005001F3" w:rsidRPr="005001F3">
              <w:rPr>
                <w:rFonts w:ascii="Arial" w:hAnsi="Arial" w:cs="Arial"/>
              </w:rPr>
              <w:t xml:space="preserve">0 </w:t>
            </w:r>
            <w:hyperlink r:id="rId9" w:tooltip="Öffnet internen Link im aktuellen Fenster" w:history="1">
              <w:r w:rsidR="0029388A">
                <w:rPr>
                  <w:rFonts w:ascii="Arial" w:hAnsi="Arial" w:cs="Arial"/>
                  <w:bCs/>
                </w:rPr>
                <w:t>- nach VDE 0470/</w:t>
              </w:r>
              <w:r w:rsidR="005001F3" w:rsidRPr="005001F3">
                <w:rPr>
                  <w:rFonts w:ascii="Arial" w:hAnsi="Arial" w:cs="Arial"/>
                  <w:bCs/>
                </w:rPr>
                <w:t xml:space="preserve">DIN 40050/ EN 60529 </w:t>
              </w:r>
            </w:hyperlink>
          </w:p>
          <w:p w:rsidR="005001F3" w:rsidRPr="005001F3" w:rsidRDefault="0029388A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 66</w:t>
            </w:r>
            <w:r w:rsidR="005001F3" w:rsidRPr="005001F3">
              <w:rPr>
                <w:rFonts w:ascii="Arial" w:hAnsi="Arial" w:cs="Arial"/>
              </w:rPr>
              <w:t xml:space="preserve"> </w:t>
            </w:r>
            <w:hyperlink r:id="rId10" w:tooltip="Öffnet internen Link im aktuellen Fenster" w:history="1">
              <w:r>
                <w:rPr>
                  <w:rFonts w:ascii="Arial" w:hAnsi="Arial" w:cs="Arial"/>
                  <w:bCs/>
                </w:rPr>
                <w:t>- nach VDE 0470/</w:t>
              </w:r>
              <w:r w:rsidR="005001F3" w:rsidRPr="005001F3">
                <w:rPr>
                  <w:rFonts w:ascii="Arial" w:hAnsi="Arial" w:cs="Arial"/>
                  <w:bCs/>
                </w:rPr>
                <w:t>DIN 40050/ EN 60529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(mit</w:t>
            </w:r>
            <w:r w:rsidR="00A708A7">
              <w:rPr>
                <w:rFonts w:ascii="Arial" w:hAnsi="Arial" w:cs="Arial"/>
                <w:bCs/>
              </w:rPr>
              <w:t xml:space="preserve"> zusätzlicher</w:t>
            </w:r>
            <w:r>
              <w:rPr>
                <w:rFonts w:ascii="Arial" w:hAnsi="Arial" w:cs="Arial"/>
                <w:bCs/>
              </w:rPr>
              <w:t xml:space="preserve"> EPDM-Dichtung)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Farbe:</w:t>
            </w:r>
          </w:p>
        </w:tc>
        <w:tc>
          <w:tcPr>
            <w:tcW w:w="0" w:type="auto"/>
            <w:hideMark/>
          </w:tcPr>
          <w:p w:rsidR="005001F3" w:rsidRPr="0029388A" w:rsidRDefault="00F23468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F23468">
              <w:rPr>
                <w:rFonts w:ascii="Arial" w:hAnsi="Arial" w:cs="Arial"/>
                <w:bCs/>
              </w:rPr>
              <w:t xml:space="preserve">Gehäuse: </w:t>
            </w:r>
            <w:r w:rsidRPr="00F23468">
              <w:rPr>
                <w:rFonts w:ascii="Arial" w:hAnsi="Arial" w:cs="Arial"/>
                <w:bCs/>
              </w:rPr>
              <w:br/>
              <w:t>grau pulverbeschichtet (ähnlich RAL 7023),</w:t>
            </w:r>
            <w:r w:rsidRPr="00F23468">
              <w:rPr>
                <w:rFonts w:ascii="Arial" w:hAnsi="Arial" w:cs="Arial"/>
                <w:bCs/>
              </w:rPr>
              <w:br/>
              <w:t>schwarz pulverbeschichtet (ähnlich RAL 9005)</w:t>
            </w:r>
            <w:r w:rsidRPr="00F23468">
              <w:rPr>
                <w:rFonts w:ascii="Arial" w:hAnsi="Arial" w:cs="Arial"/>
                <w:bCs/>
              </w:rPr>
              <w:br/>
              <w:t xml:space="preserve">Seitenplatten: </w:t>
            </w:r>
            <w:r w:rsidRPr="00F23468">
              <w:rPr>
                <w:rFonts w:ascii="Arial" w:hAnsi="Arial" w:cs="Arial"/>
                <w:bCs/>
              </w:rPr>
              <w:br/>
              <w:t>schwarz (RAL 9005), grau (RAL 7023),</w:t>
            </w:r>
            <w:r w:rsidRPr="00F23468">
              <w:rPr>
                <w:rFonts w:ascii="Arial" w:hAnsi="Arial" w:cs="Arial"/>
                <w:bCs/>
              </w:rPr>
              <w:br/>
              <w:t xml:space="preserve">UL94-V0 transparent, UL94-V0 rot </w:t>
            </w:r>
            <w:r w:rsidRPr="00F23468">
              <w:rPr>
                <w:rFonts w:ascii="Arial" w:hAnsi="Arial" w:cs="Arial"/>
                <w:bCs/>
              </w:rPr>
              <w:br/>
              <w:t>transparent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Temperaturbereich:</w:t>
            </w:r>
          </w:p>
        </w:tc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-20 bis +90°C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Ausführungen:</w:t>
            </w:r>
          </w:p>
        </w:tc>
        <w:tc>
          <w:tcPr>
            <w:tcW w:w="0" w:type="auto"/>
            <w:hideMark/>
          </w:tcPr>
          <w:p w:rsidR="005001F3" w:rsidRPr="005001F3" w:rsidRDefault="00AE336D" w:rsidP="0061420C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AE336D">
              <w:rPr>
                <w:rFonts w:ascii="Arial" w:hAnsi="Arial" w:cs="Arial"/>
                <w:bCs/>
              </w:rPr>
              <w:t>in verschiedenen Standardgrößen (1-9 Module)</w:t>
            </w:r>
            <w:r w:rsidRPr="00AE336D">
              <w:rPr>
                <w:rFonts w:ascii="Arial" w:hAnsi="Arial" w:cs="Arial"/>
                <w:bCs/>
              </w:rPr>
              <w:br/>
              <w:t>und verschiedenfarbigen Seitenplatten erhältlich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Modifikationen:</w:t>
            </w:r>
          </w:p>
        </w:tc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passende</w:t>
            </w:r>
            <w:hyperlink r:id="rId11" w:tooltip="Öffnet internen Link im aktuellen Fenster" w:history="1">
              <w:r w:rsidRPr="005001F3">
                <w:rPr>
                  <w:rFonts w:ascii="Arial" w:hAnsi="Arial" w:cs="Arial"/>
                  <w:bCs/>
                </w:rPr>
                <w:t xml:space="preserve"> Folientastaturen</w:t>
              </w:r>
            </w:hyperlink>
            <w:r w:rsidRPr="005001F3">
              <w:rPr>
                <w:rFonts w:ascii="Arial" w:hAnsi="Arial" w:cs="Arial"/>
              </w:rPr>
              <w:t xml:space="preserve">, </w:t>
            </w:r>
            <w:hyperlink r:id="rId12" w:tooltip="Öffnet internen Link im aktuellen Fenster" w:history="1">
              <w:r w:rsidRPr="005001F3">
                <w:rPr>
                  <w:rFonts w:ascii="Arial" w:hAnsi="Arial" w:cs="Arial"/>
                  <w:bCs/>
                </w:rPr>
                <w:t>mechanische Bearbeitung</w:t>
              </w:r>
            </w:hyperlink>
            <w:r w:rsidRPr="005001F3">
              <w:rPr>
                <w:rFonts w:ascii="Arial" w:hAnsi="Arial" w:cs="Arial"/>
              </w:rPr>
              <w:t xml:space="preserve">, </w:t>
            </w:r>
            <w:hyperlink r:id="rId13" w:tgtFrame="_blank" w:tooltip="Öffnet externen Link in neuem Fenster" w:history="1">
              <w:r w:rsidRPr="005001F3">
                <w:rPr>
                  <w:rFonts w:ascii="Arial" w:hAnsi="Arial" w:cs="Arial"/>
                  <w:bCs/>
                </w:rPr>
                <w:t>Eingabesysteme</w:t>
              </w:r>
            </w:hyperlink>
            <w:r w:rsidRPr="005001F3">
              <w:rPr>
                <w:rFonts w:ascii="Arial" w:hAnsi="Arial" w:cs="Arial"/>
              </w:rPr>
              <w:t xml:space="preserve">, </w:t>
            </w:r>
            <w:hyperlink r:id="rId14" w:tooltip="Öffnet internen Link im aktuellen Fenster" w:history="1">
              <w:r w:rsidR="00B6309D">
                <w:rPr>
                  <w:rFonts w:ascii="Arial" w:hAnsi="Arial" w:cs="Arial"/>
                  <w:bCs/>
                </w:rPr>
                <w:t>Oberflächenvere</w:t>
              </w:r>
              <w:r w:rsidRPr="005001F3">
                <w:rPr>
                  <w:rFonts w:ascii="Arial" w:hAnsi="Arial" w:cs="Arial"/>
                  <w:bCs/>
                </w:rPr>
                <w:t>delung</w:t>
              </w:r>
            </w:hyperlink>
            <w:r w:rsidR="0029388A">
              <w:rPr>
                <w:rFonts w:ascii="Arial" w:hAnsi="Arial" w:cs="Arial"/>
              </w:rPr>
              <w:t xml:space="preserve"> </w:t>
            </w:r>
            <w:r w:rsidRPr="005001F3">
              <w:rPr>
                <w:rFonts w:ascii="Arial" w:hAnsi="Arial" w:cs="Arial"/>
              </w:rPr>
              <w:t>(EMV,ESD,MED,...) uvm. sind jederzeit möglich</w:t>
            </w:r>
          </w:p>
        </w:tc>
        <w:bookmarkStart w:id="0" w:name="_GoBack"/>
        <w:bookmarkEnd w:id="0"/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Besonderheiten:</w:t>
            </w:r>
          </w:p>
        </w:tc>
        <w:tc>
          <w:tcPr>
            <w:tcW w:w="0" w:type="auto"/>
            <w:hideMark/>
          </w:tcPr>
          <w:p w:rsidR="005001F3" w:rsidRPr="0061420C" w:rsidRDefault="005B1C9C" w:rsidP="00C6280C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B1C9C">
              <w:rPr>
                <w:rFonts w:ascii="Arial" w:hAnsi="Arial" w:cs="Arial"/>
                <w:bCs/>
              </w:rPr>
              <w:t>standardmäßig in 6 verschiedenen Modulbreiten</w:t>
            </w:r>
            <w:r w:rsidRPr="005B1C9C">
              <w:rPr>
                <w:rFonts w:ascii="Arial" w:hAnsi="Arial" w:cs="Arial"/>
                <w:bCs/>
              </w:rPr>
              <w:br/>
              <w:t>mit vier verschiedenen Farben für Seitenplatten erhältlich, IP66 durch separate Dichtung und Kunststoffseitenplatten möglich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im Lieferumfang enthalten:</w:t>
            </w:r>
          </w:p>
        </w:tc>
        <w:tc>
          <w:tcPr>
            <w:tcW w:w="0" w:type="auto"/>
            <w:hideMark/>
          </w:tcPr>
          <w:p w:rsidR="005001F3" w:rsidRPr="005001F3" w:rsidRDefault="005001F3" w:rsidP="0029388A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 xml:space="preserve">Gehäuse mit </w:t>
            </w:r>
            <w:r w:rsidR="0029388A">
              <w:rPr>
                <w:rFonts w:ascii="Arial" w:hAnsi="Arial" w:cs="Arial"/>
              </w:rPr>
              <w:t>zwei Seitenplatten,</w:t>
            </w:r>
            <w:r w:rsidR="00A708A7">
              <w:rPr>
                <w:rFonts w:ascii="Arial" w:hAnsi="Arial" w:cs="Arial"/>
              </w:rPr>
              <w:t xml:space="preserve"> 4x Schrauben M3x10, </w:t>
            </w:r>
            <w:r w:rsidR="00A708A7">
              <w:rPr>
                <w:rFonts w:ascii="Arial" w:hAnsi="Arial" w:cs="Arial"/>
              </w:rPr>
              <w:br/>
              <w:t xml:space="preserve">4x </w:t>
            </w:r>
            <w:proofErr w:type="spellStart"/>
            <w:r w:rsidR="00A708A7">
              <w:rPr>
                <w:rFonts w:ascii="Arial" w:hAnsi="Arial" w:cs="Arial"/>
              </w:rPr>
              <w:t>Gummif</w:t>
            </w:r>
            <w:r w:rsidR="0029388A">
              <w:rPr>
                <w:rFonts w:ascii="Arial" w:hAnsi="Arial" w:cs="Arial"/>
              </w:rPr>
              <w:t>uss</w:t>
            </w:r>
            <w:proofErr w:type="spellEnd"/>
            <w:r w:rsidR="007173DF">
              <w:rPr>
                <w:rFonts w:ascii="Arial" w:hAnsi="Arial" w:cs="Arial"/>
              </w:rPr>
              <w:t>, optional mit Dichtung</w:t>
            </w:r>
          </w:p>
        </w:tc>
      </w:tr>
    </w:tbl>
    <w:p w:rsidR="003E74BD" w:rsidRDefault="003E74BD" w:rsidP="00EB5698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B9127C" w:rsidRDefault="000E6D3D" w:rsidP="00EB5698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Weitere Informati</w:t>
      </w:r>
      <w:r w:rsidR="00E37689">
        <w:rPr>
          <w:rFonts w:ascii="Arial" w:hAnsi="Arial" w:cs="Arial"/>
        </w:rPr>
        <w:t>onen finden Sie auf:</w:t>
      </w:r>
    </w:p>
    <w:p w:rsidR="000E6D3D" w:rsidRPr="00795595" w:rsidRDefault="00B9127C" w:rsidP="00EB5698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9DA2"/>
        </w:rPr>
      </w:pPr>
      <w:r w:rsidRPr="00795595">
        <w:rPr>
          <w:rFonts w:ascii="Arial" w:hAnsi="Arial" w:cs="Arial"/>
          <w:b/>
          <w:bCs/>
          <w:color w:val="009DA2"/>
        </w:rPr>
        <w:t>www.industriegehaeuse.de/aluminium-gehaeuse/hutschienengehaeuse/</w:t>
      </w:r>
    </w:p>
    <w:p w:rsidR="001910B5" w:rsidRDefault="003A4F1C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Die Richard Wöhr GmbH ist ein mittelständisches </w:t>
      </w:r>
      <w:r w:rsidR="0032151B" w:rsidRPr="008D45D8">
        <w:rPr>
          <w:rFonts w:ascii="Arial" w:hAnsi="Arial" w:cs="Arial"/>
        </w:rPr>
        <w:t>Familienu</w:t>
      </w:r>
      <w:r w:rsidRPr="008D45D8">
        <w:rPr>
          <w:rFonts w:ascii="Arial" w:hAnsi="Arial" w:cs="Arial"/>
        </w:rPr>
        <w:t xml:space="preserve">nternehmen im Nordschwarzwald. Mit über 85 Mitarbeitern entwickelt, fertig und vertreibt das </w:t>
      </w:r>
      <w:r w:rsidR="0032151B" w:rsidRPr="008D45D8">
        <w:rPr>
          <w:rFonts w:ascii="Arial" w:hAnsi="Arial" w:cs="Arial"/>
        </w:rPr>
        <w:t>U</w:t>
      </w:r>
      <w:r w:rsidRPr="008D45D8">
        <w:rPr>
          <w:rFonts w:ascii="Arial" w:hAnsi="Arial" w:cs="Arial"/>
        </w:rPr>
        <w:t xml:space="preserve">nternehmen weltweit kundenspezifische Komplettlösungen. </w:t>
      </w:r>
      <w:r w:rsidR="0032151B" w:rsidRPr="008D45D8">
        <w:rPr>
          <w:rFonts w:ascii="Arial" w:hAnsi="Arial" w:cs="Arial"/>
        </w:rPr>
        <w:t>Besonders Flacheingabesysteme</w:t>
      </w:r>
      <w:r w:rsidR="00215694">
        <w:rPr>
          <w:rFonts w:ascii="Arial" w:hAnsi="Arial" w:cs="Arial"/>
        </w:rPr>
        <w:t xml:space="preserve">, Folientastaturen, </w:t>
      </w:r>
      <w:r w:rsidR="0032151B" w:rsidRPr="008D45D8">
        <w:rPr>
          <w:rFonts w:ascii="Arial" w:hAnsi="Arial" w:cs="Arial"/>
        </w:rPr>
        <w:t>Touch</w:t>
      </w:r>
      <w:r w:rsidR="00215694">
        <w:rPr>
          <w:rFonts w:ascii="Arial" w:hAnsi="Arial" w:cs="Arial"/>
        </w:rPr>
        <w:t>screens und</w:t>
      </w:r>
      <w:r w:rsidR="001910B5" w:rsidRPr="008D45D8">
        <w:rPr>
          <w:rFonts w:ascii="Arial" w:hAnsi="Arial" w:cs="Arial"/>
        </w:rPr>
        <w:t xml:space="preserve"> Industriekomponenten für die Bereiche Steuern, Bedienen und Anzeigen sowie </w:t>
      </w:r>
      <w:r w:rsidR="0032151B" w:rsidRPr="008D45D8">
        <w:rPr>
          <w:rFonts w:ascii="Arial" w:hAnsi="Arial" w:cs="Arial"/>
        </w:rPr>
        <w:t xml:space="preserve">Industriegehäuse für vielseitige Anwendungen. </w:t>
      </w:r>
    </w:p>
    <w:p w:rsidR="000E6D3D" w:rsidRPr="008D45D8" w:rsidRDefault="000E6D3D" w:rsidP="008D45D8">
      <w:pPr>
        <w:spacing w:after="0"/>
        <w:jc w:val="both"/>
        <w:rPr>
          <w:rFonts w:ascii="Arial" w:hAnsi="Arial" w:cs="Arial"/>
        </w:rPr>
      </w:pPr>
    </w:p>
    <w:p w:rsidR="001910B5" w:rsidRPr="00FD2BCA" w:rsidRDefault="001910B5" w:rsidP="00EB5698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5" w:history="1">
        <w:r w:rsidR="0061420C" w:rsidRPr="00360E69">
          <w:rPr>
            <w:rStyle w:val="Hyperlink"/>
            <w:color w:val="009DA2"/>
            <w:sz w:val="22"/>
            <w:szCs w:val="22"/>
          </w:rPr>
          <w:t>http://www.WoehrGmbH.de/de/aktuelles-presse/pressecenter/</w:t>
        </w:r>
      </w:hyperlink>
      <w:r w:rsidRPr="00360E69">
        <w:rPr>
          <w:rStyle w:val="Hyperlink"/>
          <w:color w:val="009DA2"/>
          <w:sz w:val="22"/>
          <w:szCs w:val="22"/>
        </w:rPr>
        <w:t xml:space="preserve"> </w:t>
      </w:r>
    </w:p>
    <w:p w:rsidR="003C1C57" w:rsidRPr="00507B6B" w:rsidRDefault="005F062D" w:rsidP="00EB569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Default="003C1C57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6" w:history="1">
        <w:r w:rsidR="003078BA" w:rsidRPr="00FD2BCA">
          <w:rPr>
            <w:rStyle w:val="Hyperlink"/>
            <w:color w:val="009DA2"/>
            <w:spacing w:val="1"/>
            <w:sz w:val="18"/>
            <w:szCs w:val="16"/>
          </w:rPr>
          <w:t>K.Maier@WoehrGmbH.de</w:t>
        </w:r>
      </w:hyperlink>
    </w:p>
    <w:p w:rsidR="003078BA" w:rsidRPr="003078BA" w:rsidRDefault="003078BA" w:rsidP="008D45D8">
      <w:pPr>
        <w:rPr>
          <w:rFonts w:ascii="Arial" w:hAnsi="Arial" w:cs="Arial"/>
          <w:sz w:val="24"/>
        </w:rPr>
      </w:pPr>
    </w:p>
    <w:sectPr w:rsidR="003078BA" w:rsidRPr="003078BA" w:rsidSect="003C1C57">
      <w:headerReference w:type="default" r:id="rId17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B3" w:rsidRDefault="000003B3" w:rsidP="003C1C57">
      <w:pPr>
        <w:spacing w:after="0" w:line="240" w:lineRule="auto"/>
      </w:pPr>
      <w:r>
        <w:separator/>
      </w:r>
    </w:p>
  </w:endnote>
  <w:endnote w:type="continuationSeparator" w:id="0">
    <w:p w:rsidR="000003B3" w:rsidRDefault="000003B3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lemateLight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B3" w:rsidRDefault="000003B3" w:rsidP="003C1C57">
      <w:pPr>
        <w:spacing w:after="0" w:line="240" w:lineRule="auto"/>
      </w:pPr>
      <w:r>
        <w:separator/>
      </w:r>
    </w:p>
  </w:footnote>
  <w:footnote w:type="continuationSeparator" w:id="0">
    <w:p w:rsidR="000003B3" w:rsidRDefault="000003B3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 wp14:anchorId="4F4FD1E0" wp14:editId="44336CF8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2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03B3"/>
    <w:rsid w:val="00003CA8"/>
    <w:rsid w:val="00004700"/>
    <w:rsid w:val="00010B00"/>
    <w:rsid w:val="00016FC9"/>
    <w:rsid w:val="00032968"/>
    <w:rsid w:val="000330A9"/>
    <w:rsid w:val="00055A52"/>
    <w:rsid w:val="00060215"/>
    <w:rsid w:val="00087E4B"/>
    <w:rsid w:val="000927AC"/>
    <w:rsid w:val="00092BC2"/>
    <w:rsid w:val="0009340D"/>
    <w:rsid w:val="00096B06"/>
    <w:rsid w:val="000A69E1"/>
    <w:rsid w:val="000B1192"/>
    <w:rsid w:val="000B14DF"/>
    <w:rsid w:val="000B4A80"/>
    <w:rsid w:val="000C31C3"/>
    <w:rsid w:val="000C53F7"/>
    <w:rsid w:val="000C5C40"/>
    <w:rsid w:val="000D2643"/>
    <w:rsid w:val="000E6D3D"/>
    <w:rsid w:val="00106DB4"/>
    <w:rsid w:val="0011464F"/>
    <w:rsid w:val="0012777C"/>
    <w:rsid w:val="00127BA5"/>
    <w:rsid w:val="00141220"/>
    <w:rsid w:val="0015293D"/>
    <w:rsid w:val="001644D0"/>
    <w:rsid w:val="00166445"/>
    <w:rsid w:val="001677A3"/>
    <w:rsid w:val="00182759"/>
    <w:rsid w:val="001836AF"/>
    <w:rsid w:val="00184C7E"/>
    <w:rsid w:val="001910B5"/>
    <w:rsid w:val="00191AA8"/>
    <w:rsid w:val="001E2027"/>
    <w:rsid w:val="001E5225"/>
    <w:rsid w:val="001F4D8E"/>
    <w:rsid w:val="00205956"/>
    <w:rsid w:val="002073E0"/>
    <w:rsid w:val="002127F1"/>
    <w:rsid w:val="00215694"/>
    <w:rsid w:val="00222D11"/>
    <w:rsid w:val="00267829"/>
    <w:rsid w:val="0029388A"/>
    <w:rsid w:val="002A0EF9"/>
    <w:rsid w:val="002D3800"/>
    <w:rsid w:val="002E7A78"/>
    <w:rsid w:val="002F543D"/>
    <w:rsid w:val="0030328B"/>
    <w:rsid w:val="0030778B"/>
    <w:rsid w:val="003078BA"/>
    <w:rsid w:val="0032151B"/>
    <w:rsid w:val="00327CC8"/>
    <w:rsid w:val="003334CB"/>
    <w:rsid w:val="003372D5"/>
    <w:rsid w:val="003462EC"/>
    <w:rsid w:val="00346FA9"/>
    <w:rsid w:val="00352133"/>
    <w:rsid w:val="00360BEA"/>
    <w:rsid w:val="00360E69"/>
    <w:rsid w:val="003610B2"/>
    <w:rsid w:val="00365F44"/>
    <w:rsid w:val="0038434F"/>
    <w:rsid w:val="0038777F"/>
    <w:rsid w:val="00394180"/>
    <w:rsid w:val="003961EC"/>
    <w:rsid w:val="003A4F1C"/>
    <w:rsid w:val="003C1AD6"/>
    <w:rsid w:val="003C1C57"/>
    <w:rsid w:val="003E17E1"/>
    <w:rsid w:val="003E74BD"/>
    <w:rsid w:val="003F32B9"/>
    <w:rsid w:val="003F6F61"/>
    <w:rsid w:val="00414387"/>
    <w:rsid w:val="004145B8"/>
    <w:rsid w:val="004149AC"/>
    <w:rsid w:val="004152C5"/>
    <w:rsid w:val="00420C12"/>
    <w:rsid w:val="00424EB6"/>
    <w:rsid w:val="00434979"/>
    <w:rsid w:val="00435162"/>
    <w:rsid w:val="00447DE4"/>
    <w:rsid w:val="00453F96"/>
    <w:rsid w:val="0049500A"/>
    <w:rsid w:val="004A0749"/>
    <w:rsid w:val="004A3162"/>
    <w:rsid w:val="004A4274"/>
    <w:rsid w:val="004A4947"/>
    <w:rsid w:val="004B6A26"/>
    <w:rsid w:val="004D003E"/>
    <w:rsid w:val="004E2AFD"/>
    <w:rsid w:val="004E7BFE"/>
    <w:rsid w:val="004F2443"/>
    <w:rsid w:val="005001F3"/>
    <w:rsid w:val="00507B6B"/>
    <w:rsid w:val="005133CD"/>
    <w:rsid w:val="005520CA"/>
    <w:rsid w:val="00552848"/>
    <w:rsid w:val="00553689"/>
    <w:rsid w:val="00560426"/>
    <w:rsid w:val="005609B1"/>
    <w:rsid w:val="00566160"/>
    <w:rsid w:val="0057153A"/>
    <w:rsid w:val="005718E5"/>
    <w:rsid w:val="00585E3C"/>
    <w:rsid w:val="00592105"/>
    <w:rsid w:val="005A20AD"/>
    <w:rsid w:val="005B1C9C"/>
    <w:rsid w:val="005B501A"/>
    <w:rsid w:val="005C337A"/>
    <w:rsid w:val="005D3FD1"/>
    <w:rsid w:val="005E3421"/>
    <w:rsid w:val="005E3DD6"/>
    <w:rsid w:val="005F062D"/>
    <w:rsid w:val="005F3F94"/>
    <w:rsid w:val="006108FF"/>
    <w:rsid w:val="0061420C"/>
    <w:rsid w:val="006375FB"/>
    <w:rsid w:val="00640C04"/>
    <w:rsid w:val="00651847"/>
    <w:rsid w:val="00652A8F"/>
    <w:rsid w:val="00663F67"/>
    <w:rsid w:val="00667B6C"/>
    <w:rsid w:val="00671E28"/>
    <w:rsid w:val="00673DCA"/>
    <w:rsid w:val="006C2E57"/>
    <w:rsid w:val="006E55A4"/>
    <w:rsid w:val="007173DF"/>
    <w:rsid w:val="00723E2A"/>
    <w:rsid w:val="00724DD8"/>
    <w:rsid w:val="00726F86"/>
    <w:rsid w:val="00730F8A"/>
    <w:rsid w:val="00736391"/>
    <w:rsid w:val="0073734C"/>
    <w:rsid w:val="00742196"/>
    <w:rsid w:val="00746628"/>
    <w:rsid w:val="007538ED"/>
    <w:rsid w:val="007625C8"/>
    <w:rsid w:val="007649A4"/>
    <w:rsid w:val="00766A07"/>
    <w:rsid w:val="007723E7"/>
    <w:rsid w:val="00773096"/>
    <w:rsid w:val="007744E2"/>
    <w:rsid w:val="007831CC"/>
    <w:rsid w:val="0079032B"/>
    <w:rsid w:val="00795595"/>
    <w:rsid w:val="007B2E36"/>
    <w:rsid w:val="007C4EA3"/>
    <w:rsid w:val="007C7867"/>
    <w:rsid w:val="007D16F5"/>
    <w:rsid w:val="007D2284"/>
    <w:rsid w:val="007D55E5"/>
    <w:rsid w:val="007D6803"/>
    <w:rsid w:val="007E7AE5"/>
    <w:rsid w:val="0082136F"/>
    <w:rsid w:val="008554E3"/>
    <w:rsid w:val="008728D7"/>
    <w:rsid w:val="0088233A"/>
    <w:rsid w:val="008960A1"/>
    <w:rsid w:val="008A3CAB"/>
    <w:rsid w:val="008B1FB7"/>
    <w:rsid w:val="008B538E"/>
    <w:rsid w:val="008B669E"/>
    <w:rsid w:val="008C5A58"/>
    <w:rsid w:val="008C707D"/>
    <w:rsid w:val="008D45D8"/>
    <w:rsid w:val="008D59E4"/>
    <w:rsid w:val="008E35BA"/>
    <w:rsid w:val="008F063F"/>
    <w:rsid w:val="008F46A2"/>
    <w:rsid w:val="008F4B92"/>
    <w:rsid w:val="00921E69"/>
    <w:rsid w:val="00927297"/>
    <w:rsid w:val="00942E77"/>
    <w:rsid w:val="0097767F"/>
    <w:rsid w:val="009B6B4A"/>
    <w:rsid w:val="009B710F"/>
    <w:rsid w:val="009C5499"/>
    <w:rsid w:val="009C64CD"/>
    <w:rsid w:val="009E59F6"/>
    <w:rsid w:val="009F4F47"/>
    <w:rsid w:val="009F7E59"/>
    <w:rsid w:val="00A06376"/>
    <w:rsid w:val="00A1260E"/>
    <w:rsid w:val="00A521A4"/>
    <w:rsid w:val="00A708A7"/>
    <w:rsid w:val="00A874A1"/>
    <w:rsid w:val="00A95460"/>
    <w:rsid w:val="00AD169B"/>
    <w:rsid w:val="00AE336D"/>
    <w:rsid w:val="00AF2058"/>
    <w:rsid w:val="00AF70D9"/>
    <w:rsid w:val="00AF7D64"/>
    <w:rsid w:val="00B10086"/>
    <w:rsid w:val="00B1104F"/>
    <w:rsid w:val="00B17EF2"/>
    <w:rsid w:val="00B367A1"/>
    <w:rsid w:val="00B406E2"/>
    <w:rsid w:val="00B6309D"/>
    <w:rsid w:val="00B638AD"/>
    <w:rsid w:val="00B74941"/>
    <w:rsid w:val="00B757AB"/>
    <w:rsid w:val="00B9127C"/>
    <w:rsid w:val="00B9658D"/>
    <w:rsid w:val="00BA13D2"/>
    <w:rsid w:val="00BC0650"/>
    <w:rsid w:val="00BD11B9"/>
    <w:rsid w:val="00BE002A"/>
    <w:rsid w:val="00BE468D"/>
    <w:rsid w:val="00BE51BD"/>
    <w:rsid w:val="00BE587D"/>
    <w:rsid w:val="00BF0247"/>
    <w:rsid w:val="00BF20D4"/>
    <w:rsid w:val="00C00B23"/>
    <w:rsid w:val="00C063DC"/>
    <w:rsid w:val="00C26B85"/>
    <w:rsid w:val="00C33408"/>
    <w:rsid w:val="00C546F7"/>
    <w:rsid w:val="00C579C1"/>
    <w:rsid w:val="00C61854"/>
    <w:rsid w:val="00C6280C"/>
    <w:rsid w:val="00C83289"/>
    <w:rsid w:val="00CA5188"/>
    <w:rsid w:val="00CB0002"/>
    <w:rsid w:val="00CC2766"/>
    <w:rsid w:val="00CE278B"/>
    <w:rsid w:val="00CE2F37"/>
    <w:rsid w:val="00CF2680"/>
    <w:rsid w:val="00CF6616"/>
    <w:rsid w:val="00D03F80"/>
    <w:rsid w:val="00D07934"/>
    <w:rsid w:val="00D10BB7"/>
    <w:rsid w:val="00D120C4"/>
    <w:rsid w:val="00D3314B"/>
    <w:rsid w:val="00D64020"/>
    <w:rsid w:val="00D709AC"/>
    <w:rsid w:val="00D75395"/>
    <w:rsid w:val="00D75DA1"/>
    <w:rsid w:val="00D80415"/>
    <w:rsid w:val="00D824BC"/>
    <w:rsid w:val="00D82632"/>
    <w:rsid w:val="00D875FE"/>
    <w:rsid w:val="00D87C75"/>
    <w:rsid w:val="00D92B7B"/>
    <w:rsid w:val="00DB22C8"/>
    <w:rsid w:val="00DB4B0C"/>
    <w:rsid w:val="00DD3170"/>
    <w:rsid w:val="00DE0171"/>
    <w:rsid w:val="00DF564F"/>
    <w:rsid w:val="00E04CC0"/>
    <w:rsid w:val="00E05E6D"/>
    <w:rsid w:val="00E071DD"/>
    <w:rsid w:val="00E112C0"/>
    <w:rsid w:val="00E13B08"/>
    <w:rsid w:val="00E20CB4"/>
    <w:rsid w:val="00E23429"/>
    <w:rsid w:val="00E25323"/>
    <w:rsid w:val="00E2718F"/>
    <w:rsid w:val="00E371BE"/>
    <w:rsid w:val="00E37689"/>
    <w:rsid w:val="00E44917"/>
    <w:rsid w:val="00E51B8F"/>
    <w:rsid w:val="00E66FCC"/>
    <w:rsid w:val="00E71CEA"/>
    <w:rsid w:val="00E7639A"/>
    <w:rsid w:val="00E76F9D"/>
    <w:rsid w:val="00E82DFC"/>
    <w:rsid w:val="00E8657C"/>
    <w:rsid w:val="00E93D35"/>
    <w:rsid w:val="00EB5698"/>
    <w:rsid w:val="00ED449F"/>
    <w:rsid w:val="00EE5875"/>
    <w:rsid w:val="00F15DBE"/>
    <w:rsid w:val="00F21696"/>
    <w:rsid w:val="00F23468"/>
    <w:rsid w:val="00F26768"/>
    <w:rsid w:val="00F36704"/>
    <w:rsid w:val="00F61B90"/>
    <w:rsid w:val="00F62D7F"/>
    <w:rsid w:val="00F65C79"/>
    <w:rsid w:val="00F75853"/>
    <w:rsid w:val="00F85C1D"/>
    <w:rsid w:val="00F970ED"/>
    <w:rsid w:val="00FC37A8"/>
    <w:rsid w:val="00FC7224"/>
    <w:rsid w:val="00FD2BCA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12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91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ehrgmbh.de/de/produkte/eingabesystem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dustriegehaeuse.de/unternehmen/bearbeitun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.Maier@WoehrGmbH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dustriegehaeuse.de/unternehmen/standardtastatur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ehrgmbh.de/de/aktuelles-presse/pressecenter/" TargetMode="External"/><Relationship Id="rId10" Type="http://schemas.openxmlformats.org/officeDocument/2006/relationships/hyperlink" Target="http://www.industriegehaeuse.de/de/unternehmen/schutzarte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/de/unternehmen/schutzarten/" TargetMode="External"/><Relationship Id="rId14" Type="http://schemas.openxmlformats.org/officeDocument/2006/relationships/hyperlink" Target="http://www.industriegehaeuse.de/unternehmen/oberflaech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6638-7960-4154-BB31-BD775845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34</cp:revision>
  <cp:lastPrinted>2015-03-16T13:04:00Z</cp:lastPrinted>
  <dcterms:created xsi:type="dcterms:W3CDTF">2015-02-24T10:17:00Z</dcterms:created>
  <dcterms:modified xsi:type="dcterms:W3CDTF">2015-03-16T13:31:00Z</dcterms:modified>
</cp:coreProperties>
</file>