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57153A" w:rsidRDefault="003C1C57" w:rsidP="00500B8D">
      <w:pPr>
        <w:pStyle w:val="EinfacherAbsatz"/>
        <w:ind w:right="-326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6E3BC5">
        <w:rPr>
          <w:rFonts w:ascii="Arial" w:hAnsi="Arial" w:cs="Arial"/>
          <w:b/>
          <w:spacing w:val="1"/>
          <w:sz w:val="28"/>
          <w:szCs w:val="28"/>
        </w:rPr>
        <w:t>20</w:t>
      </w:r>
      <w:r w:rsidR="004B5EC1">
        <w:rPr>
          <w:rFonts w:ascii="Arial" w:hAnsi="Arial" w:cs="Arial"/>
          <w:b/>
          <w:spacing w:val="1"/>
          <w:sz w:val="28"/>
          <w:szCs w:val="28"/>
        </w:rPr>
        <w:t>.10</w:t>
      </w:r>
      <w:r w:rsidR="008F5FE4">
        <w:rPr>
          <w:rFonts w:ascii="Arial" w:hAnsi="Arial" w:cs="Arial"/>
          <w:b/>
          <w:spacing w:val="1"/>
          <w:sz w:val="28"/>
          <w:szCs w:val="28"/>
        </w:rPr>
        <w:t>.2016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D92B7B" w:rsidRDefault="00EB5698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 w:rsidR="00A95460">
        <w:rPr>
          <w:rFonts w:ascii="Arial" w:hAnsi="Arial" w:cs="Arial"/>
          <w:sz w:val="28"/>
          <w:szCs w:val="28"/>
        </w:rPr>
        <w:t>®</w:t>
      </w:r>
      <w:r w:rsidR="00D9480B">
        <w:rPr>
          <w:rFonts w:ascii="Arial" w:hAnsi="Arial" w:cs="Arial"/>
          <w:sz w:val="28"/>
          <w:szCs w:val="28"/>
        </w:rPr>
        <w:t xml:space="preserve"> aktualisiert sein Produktprogramm</w:t>
      </w:r>
      <w:r w:rsidR="009673DE">
        <w:rPr>
          <w:rFonts w:ascii="Arial" w:hAnsi="Arial" w:cs="Arial"/>
          <w:sz w:val="28"/>
          <w:szCs w:val="28"/>
        </w:rPr>
        <w:t xml:space="preserve"> der Stahlblechgehäuse</w:t>
      </w:r>
    </w:p>
    <w:p w:rsidR="00EB5698" w:rsidRPr="00D92B7B" w:rsidRDefault="009673DE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Optimierung der Auswahl an hochwertigen und vielfältig einsetzbaren Edelstahl- und Stahlblechgehäusen </w:t>
      </w:r>
    </w:p>
    <w:p w:rsidR="0020335E" w:rsidRDefault="009673DE" w:rsidP="005734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neuen Gehäuseserien GH02ST004</w:t>
      </w:r>
      <w:r w:rsidR="008F2E5F">
        <w:rPr>
          <w:rFonts w:ascii="Arial" w:hAnsi="Arial" w:cs="Arial"/>
        </w:rPr>
        <w:t xml:space="preserve"> und -005</w:t>
      </w:r>
      <w:r w:rsidR="00934AA2">
        <w:rPr>
          <w:rFonts w:ascii="Arial" w:hAnsi="Arial" w:cs="Arial"/>
        </w:rPr>
        <w:t xml:space="preserve"> </w:t>
      </w:r>
      <w:r w:rsidR="008F2E5F">
        <w:rPr>
          <w:rFonts w:ascii="Arial" w:hAnsi="Arial" w:cs="Arial"/>
        </w:rPr>
        <w:t>aus Stahlblech sowie die Serien GH02ST104 und -105</w:t>
      </w:r>
      <w:r w:rsidR="00934AA2">
        <w:rPr>
          <w:rFonts w:ascii="Arial" w:hAnsi="Arial" w:cs="Arial"/>
        </w:rPr>
        <w:t xml:space="preserve"> aus Edelstahl</w:t>
      </w:r>
      <w:r w:rsidR="008F2E5F">
        <w:rPr>
          <w:rFonts w:ascii="Arial" w:hAnsi="Arial" w:cs="Arial"/>
        </w:rPr>
        <w:t xml:space="preserve"> stellen die Nachfolgeprodukte</w:t>
      </w:r>
      <w:r w:rsidR="00F37C1A">
        <w:rPr>
          <w:rFonts w:ascii="Arial" w:hAnsi="Arial" w:cs="Arial"/>
        </w:rPr>
        <w:t xml:space="preserve"> für die</w:t>
      </w:r>
      <w:r w:rsidR="008F2E5F">
        <w:rPr>
          <w:rFonts w:ascii="Arial" w:hAnsi="Arial" w:cs="Arial"/>
        </w:rPr>
        <w:t xml:space="preserve"> akt</w:t>
      </w:r>
      <w:r w:rsidR="00EE6B04">
        <w:rPr>
          <w:rFonts w:ascii="Arial" w:hAnsi="Arial" w:cs="Arial"/>
        </w:rPr>
        <w:t>uell verfügbaren Stahlblechgehäuse</w:t>
      </w:r>
      <w:r w:rsidR="00F37C1A">
        <w:rPr>
          <w:rFonts w:ascii="Arial" w:hAnsi="Arial" w:cs="Arial"/>
        </w:rPr>
        <w:t xml:space="preserve"> bei der Richard Wöhr GmbH dar</w:t>
      </w:r>
      <w:r w:rsidR="008F2E5F">
        <w:rPr>
          <w:rFonts w:ascii="Arial" w:hAnsi="Arial" w:cs="Arial"/>
        </w:rPr>
        <w:t>. Die</w:t>
      </w:r>
      <w:r w:rsidR="00581EFA">
        <w:rPr>
          <w:rFonts w:ascii="Arial" w:hAnsi="Arial" w:cs="Arial"/>
        </w:rPr>
        <w:t xml:space="preserve"> Serie</w:t>
      </w:r>
      <w:r w:rsidR="009B32F3">
        <w:rPr>
          <w:rFonts w:ascii="Arial" w:hAnsi="Arial" w:cs="Arial"/>
        </w:rPr>
        <w:t xml:space="preserve"> GH02ST004</w:t>
      </w:r>
      <w:r w:rsidR="006A6E9D">
        <w:rPr>
          <w:rFonts w:ascii="Arial" w:hAnsi="Arial" w:cs="Arial"/>
        </w:rPr>
        <w:t xml:space="preserve"> aus Stahlblech</w:t>
      </w:r>
      <w:r w:rsidR="009B32F3">
        <w:rPr>
          <w:rFonts w:ascii="Arial" w:hAnsi="Arial" w:cs="Arial"/>
        </w:rPr>
        <w:t xml:space="preserve"> und -104er Serie</w:t>
      </w:r>
      <w:r w:rsidR="006A6E9D">
        <w:rPr>
          <w:rFonts w:ascii="Arial" w:hAnsi="Arial" w:cs="Arial"/>
        </w:rPr>
        <w:t xml:space="preserve"> aus Edelstahl,</w:t>
      </w:r>
      <w:r w:rsidR="009B32F3">
        <w:rPr>
          <w:rFonts w:ascii="Arial" w:hAnsi="Arial" w:cs="Arial"/>
        </w:rPr>
        <w:t xml:space="preserve"> eigenen sich</w:t>
      </w:r>
      <w:r w:rsidR="00914141">
        <w:rPr>
          <w:rFonts w:ascii="Arial" w:hAnsi="Arial" w:cs="Arial"/>
        </w:rPr>
        <w:t xml:space="preserve"> aufgrund vorgefertigten </w:t>
      </w:r>
      <w:r w:rsidR="00961715">
        <w:rPr>
          <w:rFonts w:ascii="Arial" w:hAnsi="Arial" w:cs="Arial"/>
        </w:rPr>
        <w:t>Bohrungen in der Rückseite</w:t>
      </w:r>
      <w:r w:rsidR="009B32F3">
        <w:rPr>
          <w:rFonts w:ascii="Arial" w:hAnsi="Arial" w:cs="Arial"/>
        </w:rPr>
        <w:t xml:space="preserve"> zum Einsatz als Wandgehäuse. Sie verfügen über eine</w:t>
      </w:r>
      <w:r w:rsidR="00B26B48">
        <w:rPr>
          <w:rFonts w:ascii="Arial" w:hAnsi="Arial" w:cs="Arial"/>
        </w:rPr>
        <w:t xml:space="preserve"> verschließbare</w:t>
      </w:r>
      <w:r w:rsidR="009B32F3">
        <w:rPr>
          <w:rFonts w:ascii="Arial" w:hAnsi="Arial" w:cs="Arial"/>
        </w:rPr>
        <w:t xml:space="preserve"> einflügelige Türe mit verdeckten Scharnieren, ei</w:t>
      </w:r>
      <w:r w:rsidR="00914141">
        <w:rPr>
          <w:rFonts w:ascii="Arial" w:hAnsi="Arial" w:cs="Arial"/>
        </w:rPr>
        <w:t>nem Öffnungswinkel von 180° und</w:t>
      </w:r>
      <w:r w:rsidR="009B32F3">
        <w:rPr>
          <w:rFonts w:ascii="Arial" w:hAnsi="Arial" w:cs="Arial"/>
        </w:rPr>
        <w:t xml:space="preserve"> sind mit oder ohne Montageplatte</w:t>
      </w:r>
      <w:r w:rsidR="00914141">
        <w:rPr>
          <w:rFonts w:ascii="Arial" w:hAnsi="Arial" w:cs="Arial"/>
        </w:rPr>
        <w:t xml:space="preserve"> verfügbar.</w:t>
      </w:r>
      <w:r w:rsidR="008F2E5F">
        <w:rPr>
          <w:rFonts w:ascii="Arial" w:hAnsi="Arial" w:cs="Arial"/>
        </w:rPr>
        <w:t xml:space="preserve"> </w:t>
      </w:r>
      <w:r w:rsidR="00914141">
        <w:rPr>
          <w:rFonts w:ascii="Arial" w:hAnsi="Arial" w:cs="Arial"/>
        </w:rPr>
        <w:t>Ein</w:t>
      </w:r>
      <w:r w:rsidR="00DD3CB1">
        <w:rPr>
          <w:rFonts w:ascii="Arial" w:hAnsi="Arial" w:cs="Arial"/>
        </w:rPr>
        <w:t xml:space="preserve"> schmaler Türspalt</w:t>
      </w:r>
      <w:r w:rsidR="006A6E9D">
        <w:rPr>
          <w:rFonts w:ascii="Arial" w:hAnsi="Arial" w:cs="Arial"/>
        </w:rPr>
        <w:t>, eine nahtlos</w:t>
      </w:r>
      <w:r w:rsidR="00DE207E">
        <w:rPr>
          <w:rFonts w:ascii="Arial" w:hAnsi="Arial" w:cs="Arial"/>
        </w:rPr>
        <w:t xml:space="preserve"> </w:t>
      </w:r>
      <w:r w:rsidR="006A6E9D">
        <w:rPr>
          <w:rFonts w:ascii="Arial" w:hAnsi="Arial" w:cs="Arial"/>
        </w:rPr>
        <w:t>geschäumte Dichtung</w:t>
      </w:r>
      <w:r w:rsidR="00914141">
        <w:rPr>
          <w:rFonts w:ascii="Arial" w:hAnsi="Arial" w:cs="Arial"/>
        </w:rPr>
        <w:t xml:space="preserve"> sowie </w:t>
      </w:r>
      <w:r w:rsidR="00133181">
        <w:rPr>
          <w:rFonts w:ascii="Arial" w:hAnsi="Arial" w:cs="Arial"/>
        </w:rPr>
        <w:t xml:space="preserve">eine zusätzlich innenliegende Kante </w:t>
      </w:r>
      <w:r w:rsidR="00961715">
        <w:rPr>
          <w:rFonts w:ascii="Arial" w:hAnsi="Arial" w:cs="Arial"/>
        </w:rPr>
        <w:t>verhindern das Eindringen von Schmutz und Wasser beim Öffnen der Tür und ermöglichen damit Schutzart IP66.</w:t>
      </w:r>
      <w:r w:rsidR="0020335E">
        <w:rPr>
          <w:rFonts w:ascii="Arial" w:hAnsi="Arial" w:cs="Arial"/>
        </w:rPr>
        <w:t xml:space="preserve"> Die Gehäuse haben zudem einen Schutzleiteranschluss nach DIN EN 61439-1 sowie Bolzen M6x16 an Tür und Gehäuse. </w:t>
      </w:r>
    </w:p>
    <w:p w:rsidR="0044436D" w:rsidRDefault="0044436D" w:rsidP="00573485">
      <w:pPr>
        <w:spacing w:after="0"/>
        <w:jc w:val="both"/>
        <w:rPr>
          <w:rFonts w:ascii="Arial" w:hAnsi="Arial" w:cs="Arial"/>
        </w:rPr>
      </w:pPr>
    </w:p>
    <w:p w:rsidR="00D53CCB" w:rsidRDefault="00D53CCB" w:rsidP="00573485">
      <w:pPr>
        <w:spacing w:after="0"/>
        <w:jc w:val="both"/>
      </w:pPr>
      <w:r>
        <w:rPr>
          <w:rFonts w:ascii="Arial" w:hAnsi="Arial" w:cs="Arial"/>
        </w:rPr>
        <w:t>Die Gehäuse der Serien ST005 aus Stahlblech sowie ST105 aus Edelstahl eignen sich zum Einsatz als Klemmenkasten.</w:t>
      </w:r>
      <w:r w:rsidR="008E504D">
        <w:rPr>
          <w:rFonts w:ascii="Arial" w:hAnsi="Arial" w:cs="Arial"/>
        </w:rPr>
        <w:t xml:space="preserve"> Ein Deckel mit ebenfalls nahtlos geschäumter Dichtung sowie die überprägte Zarge ermöglichen</w:t>
      </w:r>
      <w:r w:rsidR="0044436D">
        <w:rPr>
          <w:rFonts w:ascii="Arial" w:hAnsi="Arial" w:cs="Arial"/>
        </w:rPr>
        <w:t>,</w:t>
      </w:r>
      <w:r w:rsidR="008E504D">
        <w:rPr>
          <w:rFonts w:ascii="Arial" w:hAnsi="Arial" w:cs="Arial"/>
        </w:rPr>
        <w:t xml:space="preserve"> wie bei den Wandgehäusen, Schutzart IP66. Passende Schrauben, um den Deckel zu verschrauben sind im Lieferumfang enthalten.</w:t>
      </w:r>
      <w:r w:rsidR="00AC2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Darüber</w:t>
      </w:r>
      <w:r w:rsidR="008B2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hinaus befindet sich standardmäßig eine bereits montierte Befestigungs</w:t>
      </w:r>
      <w:r w:rsidR="0044436D">
        <w:rPr>
          <w:rFonts w:ascii="Arial" w:hAnsi="Arial" w:cs="Arial"/>
        </w:rPr>
        <w:t>schiene im Inneren des Gehäuses, ein Schutzleiteranschluss nach DIN EN 61439-1 und Bolzen M5x10 an Deckel und Gehäuse.</w:t>
      </w:r>
      <w:r w:rsidR="00683099">
        <w:rPr>
          <w:rFonts w:ascii="Arial" w:hAnsi="Arial" w:cs="Arial"/>
        </w:rPr>
        <w:t xml:space="preserve"> </w:t>
      </w:r>
    </w:p>
    <w:p w:rsidR="0044436D" w:rsidRDefault="0044436D" w:rsidP="00573485">
      <w:pPr>
        <w:spacing w:after="0"/>
        <w:jc w:val="both"/>
        <w:rPr>
          <w:rFonts w:ascii="Arial" w:hAnsi="Arial" w:cs="Arial"/>
        </w:rPr>
      </w:pPr>
    </w:p>
    <w:p w:rsidR="00192832" w:rsidRPr="008D45D8" w:rsidRDefault="00D53CCB" w:rsidP="001928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neuen Serien sind in vielen verschiedenen Größen erhältlich. Die Stahlblechversionen sind </w:t>
      </w:r>
      <w:r w:rsidR="00192832">
        <w:rPr>
          <w:rFonts w:ascii="Arial" w:hAnsi="Arial" w:cs="Arial"/>
        </w:rPr>
        <w:t>standardmäßig</w:t>
      </w:r>
      <w:r>
        <w:rPr>
          <w:rFonts w:ascii="Arial" w:hAnsi="Arial" w:cs="Arial"/>
        </w:rPr>
        <w:t xml:space="preserve"> in RAL 7035 pulverbeschichtet, die Edelstahlgehäuse sind außen gebürstet. </w:t>
      </w:r>
      <w:r w:rsidR="00192832">
        <w:rPr>
          <w:rFonts w:ascii="Arial" w:hAnsi="Arial" w:cs="Arial"/>
        </w:rPr>
        <w:t>Darüber hinaus gehende Modifikationen wie</w:t>
      </w:r>
      <w:r w:rsidR="00192832" w:rsidRPr="005001F3">
        <w:rPr>
          <w:rFonts w:ascii="Arial" w:hAnsi="Arial" w:cs="Arial"/>
        </w:rPr>
        <w:t xml:space="preserve"> </w:t>
      </w:r>
      <w:hyperlink r:id="rId9" w:tooltip="Öffnet internen Link im aktuellen Fenster" w:history="1">
        <w:r w:rsidR="00192832" w:rsidRPr="005001F3">
          <w:rPr>
            <w:rFonts w:ascii="Arial" w:hAnsi="Arial" w:cs="Arial"/>
            <w:bCs/>
          </w:rPr>
          <w:t>mechanische Bearbeitung</w:t>
        </w:r>
      </w:hyperlink>
      <w:r w:rsidR="00683099">
        <w:rPr>
          <w:rFonts w:ascii="Arial" w:hAnsi="Arial" w:cs="Arial"/>
        </w:rPr>
        <w:t>,</w:t>
      </w:r>
      <w:r w:rsidR="0044436D">
        <w:rPr>
          <w:rFonts w:ascii="Arial" w:hAnsi="Arial" w:cs="Arial"/>
        </w:rPr>
        <w:t xml:space="preserve"> Montageservice,</w:t>
      </w:r>
      <w:r w:rsidR="00192832" w:rsidRPr="005001F3">
        <w:rPr>
          <w:rFonts w:ascii="Arial" w:hAnsi="Arial" w:cs="Arial"/>
        </w:rPr>
        <w:t xml:space="preserve"> </w:t>
      </w:r>
      <w:hyperlink r:id="rId10" w:tooltip="Öffnet internen Link im aktuellen Fenster" w:history="1">
        <w:r w:rsidR="00192832">
          <w:rPr>
            <w:rFonts w:ascii="Arial" w:hAnsi="Arial" w:cs="Arial"/>
            <w:bCs/>
          </w:rPr>
          <w:t>Oberflächenvere</w:t>
        </w:r>
        <w:r w:rsidR="00192832" w:rsidRPr="005001F3">
          <w:rPr>
            <w:rFonts w:ascii="Arial" w:hAnsi="Arial" w:cs="Arial"/>
            <w:bCs/>
          </w:rPr>
          <w:t>delung</w:t>
        </w:r>
      </w:hyperlink>
      <w:r w:rsidR="0044436D">
        <w:rPr>
          <w:rFonts w:ascii="Arial" w:hAnsi="Arial" w:cs="Arial"/>
          <w:bCs/>
        </w:rPr>
        <w:t xml:space="preserve">, </w:t>
      </w:r>
      <w:proofErr w:type="spellStart"/>
      <w:r w:rsidR="00192832" w:rsidRPr="005001F3">
        <w:rPr>
          <w:rFonts w:ascii="Arial" w:hAnsi="Arial" w:cs="Arial"/>
        </w:rPr>
        <w:t>uvm</w:t>
      </w:r>
      <w:proofErr w:type="spellEnd"/>
      <w:r w:rsidR="00192832" w:rsidRPr="005001F3">
        <w:rPr>
          <w:rFonts w:ascii="Arial" w:hAnsi="Arial" w:cs="Arial"/>
        </w:rPr>
        <w:t>. sind jederzeit möglich</w:t>
      </w:r>
      <w:r w:rsidR="00192832">
        <w:rPr>
          <w:rFonts w:ascii="Arial" w:hAnsi="Arial" w:cs="Arial"/>
        </w:rPr>
        <w:t>.</w:t>
      </w:r>
    </w:p>
    <w:p w:rsidR="008F2E5F" w:rsidRDefault="0073734C" w:rsidP="002F69A2">
      <w:pPr>
        <w:spacing w:after="0"/>
        <w:jc w:val="both"/>
        <w:rPr>
          <w:rFonts w:ascii="Arial" w:hAnsi="Arial" w:cs="Arial"/>
          <w:b/>
        </w:rPr>
      </w:pPr>
      <w:r w:rsidRPr="000B4A80">
        <w:rPr>
          <w:rFonts w:ascii="Arial" w:hAnsi="Arial" w:cs="Arial"/>
          <w:strike/>
        </w:rPr>
        <w:br/>
      </w:r>
    </w:p>
    <w:p w:rsidR="00EB5698" w:rsidRPr="005D3ED5" w:rsidRDefault="00EB5698" w:rsidP="005001F3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  <w:b/>
        </w:rPr>
        <w:t xml:space="preserve">Technische Daten: </w:t>
      </w:r>
    </w:p>
    <w:p w:rsidR="00EB5698" w:rsidRDefault="00EB5698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0"/>
        <w:gridCol w:w="6544"/>
      </w:tblGrid>
      <w:tr w:rsidR="00A27AE6" w:rsidRPr="005001F3" w:rsidTr="001B4CB8">
        <w:tc>
          <w:tcPr>
            <w:tcW w:w="1909" w:type="dxa"/>
            <w:tcBorders>
              <w:left w:val="single" w:sz="4" w:space="0" w:color="auto"/>
            </w:tcBorders>
          </w:tcPr>
          <w:p w:rsidR="00D9480B" w:rsidRPr="005001F3" w:rsidRDefault="00683099" w:rsidP="00473F3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</w:t>
            </w:r>
            <w:r w:rsidR="00D9480B">
              <w:rPr>
                <w:rFonts w:ascii="Arial" w:hAnsi="Arial" w:cs="Arial"/>
              </w:rPr>
              <w:t>: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D9480B" w:rsidRPr="00D01517" w:rsidRDefault="00D9480B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1517">
              <w:rPr>
                <w:rFonts w:ascii="Arial" w:hAnsi="Arial" w:cs="Arial"/>
                <w:b/>
              </w:rPr>
              <w:t>GH02ST004</w:t>
            </w:r>
          </w:p>
        </w:tc>
      </w:tr>
      <w:tr w:rsidR="00A27AE6" w:rsidRPr="005001F3" w:rsidTr="001B4CB8">
        <w:tc>
          <w:tcPr>
            <w:tcW w:w="1909" w:type="dxa"/>
            <w:tcBorders>
              <w:left w:val="single" w:sz="4" w:space="0" w:color="auto"/>
            </w:tcBorders>
          </w:tcPr>
          <w:p w:rsidR="00D9480B" w:rsidRPr="005001F3" w:rsidRDefault="00D9480B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Material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D9480B" w:rsidRPr="005001F3" w:rsidRDefault="00D9480B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Gehäuse aus Stahlblech</w:t>
            </w:r>
            <w:r w:rsidRPr="005001F3">
              <w:rPr>
                <w:rFonts w:ascii="Arial" w:hAnsi="Arial" w:cs="Arial"/>
              </w:rPr>
              <w:t xml:space="preserve"> </w:t>
            </w:r>
          </w:p>
        </w:tc>
      </w:tr>
      <w:tr w:rsidR="00A27AE6" w:rsidRPr="005001F3" w:rsidTr="001B4CB8">
        <w:tc>
          <w:tcPr>
            <w:tcW w:w="1909" w:type="dxa"/>
            <w:tcBorders>
              <w:left w:val="single" w:sz="4" w:space="0" w:color="auto"/>
            </w:tcBorders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Maße: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FD6422" w:rsidRDefault="00FD6422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x 300 x 125 mm bis </w:t>
            </w:r>
            <w:r w:rsidR="0047054F">
              <w:rPr>
                <w:rFonts w:ascii="Arial" w:hAnsi="Arial" w:cs="Arial"/>
              </w:rPr>
              <w:t>600 x 800 x 800 mm</w:t>
            </w:r>
          </w:p>
        </w:tc>
      </w:tr>
      <w:tr w:rsidR="00A27AE6" w:rsidRPr="005001F3" w:rsidTr="004451DB">
        <w:tc>
          <w:tcPr>
            <w:tcW w:w="0" w:type="auto"/>
            <w:hideMark/>
          </w:tcPr>
          <w:p w:rsidR="00D9480B" w:rsidRPr="005001F3" w:rsidRDefault="00D9480B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Schutzart:</w:t>
            </w:r>
          </w:p>
        </w:tc>
        <w:tc>
          <w:tcPr>
            <w:tcW w:w="0" w:type="auto"/>
            <w:hideMark/>
          </w:tcPr>
          <w:p w:rsidR="00D9480B" w:rsidRPr="005001F3" w:rsidRDefault="00D01517" w:rsidP="00D01517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IP66</w:t>
            </w:r>
            <w:hyperlink r:id="rId11" w:tooltip="Öffnet internen Link im aktuellen Fenster" w:history="1">
              <w:r w:rsidR="00D9480B" w:rsidRPr="005001F3">
                <w:rPr>
                  <w:rFonts w:ascii="Arial" w:hAnsi="Arial" w:cs="Arial"/>
                  <w:bCs/>
                </w:rPr>
                <w:t xml:space="preserve">- nach VDE 0470/ DIN 40050/ EN 60529 </w:t>
              </w:r>
            </w:hyperlink>
          </w:p>
        </w:tc>
      </w:tr>
      <w:tr w:rsidR="00A27AE6" w:rsidRPr="005001F3" w:rsidTr="004451DB">
        <w:tc>
          <w:tcPr>
            <w:tcW w:w="0" w:type="auto"/>
            <w:hideMark/>
          </w:tcPr>
          <w:p w:rsidR="00D9480B" w:rsidRPr="005001F3" w:rsidRDefault="00D9480B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Farbe:</w:t>
            </w:r>
          </w:p>
        </w:tc>
        <w:tc>
          <w:tcPr>
            <w:tcW w:w="0" w:type="auto"/>
            <w:hideMark/>
          </w:tcPr>
          <w:p w:rsidR="00D9480B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D01517">
              <w:rPr>
                <w:rFonts w:ascii="Arial" w:hAnsi="Arial" w:cs="Arial"/>
              </w:rPr>
              <w:t>Pulverbeschichtung lichtgrau (ähnlich RAL 7035) leicht strukturiert</w:t>
            </w:r>
          </w:p>
        </w:tc>
      </w:tr>
      <w:tr w:rsidR="00A27AE6" w:rsidRPr="005001F3" w:rsidTr="004451DB">
        <w:tc>
          <w:tcPr>
            <w:tcW w:w="0" w:type="auto"/>
            <w:hideMark/>
          </w:tcPr>
          <w:p w:rsidR="00D9480B" w:rsidRPr="005001F3" w:rsidRDefault="00D9480B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lastRenderedPageBreak/>
              <w:t>Ausführungen:</w:t>
            </w:r>
          </w:p>
        </w:tc>
        <w:tc>
          <w:tcPr>
            <w:tcW w:w="0" w:type="auto"/>
            <w:hideMark/>
          </w:tcPr>
          <w:p w:rsidR="001767C3" w:rsidRPr="005001F3" w:rsidRDefault="00D01517" w:rsidP="00D01517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Wandgehäuse mit 1-flgl. Tür</w:t>
            </w:r>
            <w:r w:rsidR="00473F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</w:t>
            </w:r>
            <w:r w:rsidRPr="00D01517">
              <w:rPr>
                <w:rFonts w:ascii="Arial" w:hAnsi="Arial" w:cs="Arial"/>
              </w:rPr>
              <w:t>ahlweise mit oder</w:t>
            </w:r>
            <w:r>
              <w:rPr>
                <w:rFonts w:ascii="Arial" w:hAnsi="Arial" w:cs="Arial"/>
              </w:rPr>
              <w:t xml:space="preserve"> </w:t>
            </w:r>
            <w:r w:rsidRPr="00D01517">
              <w:rPr>
                <w:rFonts w:ascii="Arial" w:hAnsi="Arial" w:cs="Arial"/>
              </w:rPr>
              <w:t>ohne Montageplatte</w:t>
            </w:r>
            <w:r w:rsidR="00315FD4">
              <w:rPr>
                <w:rFonts w:ascii="Arial" w:hAnsi="Arial" w:cs="Arial"/>
              </w:rPr>
              <w:t>, abschließbar</w:t>
            </w:r>
          </w:p>
        </w:tc>
      </w:tr>
      <w:tr w:rsidR="00A27AE6" w:rsidRPr="005001F3" w:rsidTr="004451DB">
        <w:tc>
          <w:tcPr>
            <w:tcW w:w="0" w:type="auto"/>
          </w:tcPr>
          <w:p w:rsidR="00F36C41" w:rsidRPr="005001F3" w:rsidRDefault="00A27AE6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Lieferumfang:</w:t>
            </w:r>
          </w:p>
        </w:tc>
        <w:tc>
          <w:tcPr>
            <w:tcW w:w="0" w:type="auto"/>
          </w:tcPr>
          <w:p w:rsidR="00F36C41" w:rsidRDefault="00A27AE6" w:rsidP="00D01517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Gehäuse, ggf. mit Montageplatte lose beigelegt, passendes Befestigungszubehör, Befestigungssatz für Sch</w:t>
            </w:r>
            <w:r w:rsidR="00FE4976">
              <w:rPr>
                <w:rFonts w:ascii="Arial" w:hAnsi="Arial" w:cs="Arial"/>
              </w:rPr>
              <w:t>utzleiteranschluss, Schlüssel; j</w:t>
            </w:r>
            <w:r>
              <w:rPr>
                <w:rFonts w:ascii="Arial" w:hAnsi="Arial" w:cs="Arial"/>
              </w:rPr>
              <w:t>e nach Abmessungen mit Kabeleinführungsplatte(n)</w:t>
            </w:r>
          </w:p>
        </w:tc>
      </w:tr>
    </w:tbl>
    <w:p w:rsidR="00D9480B" w:rsidRDefault="00D9480B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4"/>
        <w:gridCol w:w="6510"/>
      </w:tblGrid>
      <w:tr w:rsidR="00D01517" w:rsidTr="001B4CB8">
        <w:tc>
          <w:tcPr>
            <w:tcW w:w="1909" w:type="dxa"/>
            <w:tcBorders>
              <w:left w:val="single" w:sz="4" w:space="0" w:color="auto"/>
            </w:tcBorders>
          </w:tcPr>
          <w:p w:rsidR="00D01517" w:rsidRPr="005001F3" w:rsidRDefault="00473F36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D01517" w:rsidRPr="00D01517" w:rsidRDefault="00D01517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1517">
              <w:rPr>
                <w:rFonts w:ascii="Arial" w:hAnsi="Arial" w:cs="Arial"/>
                <w:b/>
              </w:rPr>
              <w:t>GH02ST104</w:t>
            </w:r>
          </w:p>
        </w:tc>
      </w:tr>
      <w:tr w:rsidR="00D01517" w:rsidRPr="005001F3" w:rsidTr="001B4CB8">
        <w:tc>
          <w:tcPr>
            <w:tcW w:w="1909" w:type="dxa"/>
            <w:tcBorders>
              <w:left w:val="single" w:sz="4" w:space="0" w:color="auto"/>
            </w:tcBorders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Material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01517">
              <w:rPr>
                <w:rFonts w:ascii="Arial" w:hAnsi="Arial" w:cs="Arial"/>
              </w:rPr>
              <w:t>Gehäuse aus Edelstahl 1.4301</w:t>
            </w:r>
          </w:p>
        </w:tc>
      </w:tr>
      <w:tr w:rsidR="00FD6422" w:rsidRPr="005001F3" w:rsidTr="001B4CB8">
        <w:tc>
          <w:tcPr>
            <w:tcW w:w="1909" w:type="dxa"/>
            <w:tcBorders>
              <w:left w:val="single" w:sz="4" w:space="0" w:color="auto"/>
            </w:tcBorders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Maße: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FD6422" w:rsidRPr="00D01517" w:rsidRDefault="0047054F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x 300 x 125 mm bis 600 x 600 x 200 mm</w:t>
            </w:r>
          </w:p>
        </w:tc>
      </w:tr>
      <w:tr w:rsidR="00D01517" w:rsidRPr="005001F3" w:rsidTr="004451DB">
        <w:tc>
          <w:tcPr>
            <w:tcW w:w="0" w:type="auto"/>
            <w:hideMark/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Schutzart:</w:t>
            </w:r>
          </w:p>
        </w:tc>
        <w:tc>
          <w:tcPr>
            <w:tcW w:w="0" w:type="auto"/>
            <w:hideMark/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IP66</w:t>
            </w:r>
            <w:hyperlink r:id="rId12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 xml:space="preserve">- nach VDE 0470/ DIN 40050/ EN 60529 </w:t>
              </w:r>
            </w:hyperlink>
          </w:p>
        </w:tc>
      </w:tr>
      <w:tr w:rsidR="00D01517" w:rsidRPr="005001F3" w:rsidTr="004451DB">
        <w:tc>
          <w:tcPr>
            <w:tcW w:w="0" w:type="auto"/>
            <w:hideMark/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Oberfläche</w:t>
            </w:r>
            <w:r w:rsidRPr="005001F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hideMark/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außen gebürstet</w:t>
            </w:r>
          </w:p>
        </w:tc>
      </w:tr>
      <w:tr w:rsidR="00D01517" w:rsidRPr="005001F3" w:rsidTr="004451DB">
        <w:tc>
          <w:tcPr>
            <w:tcW w:w="0" w:type="auto"/>
            <w:hideMark/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Ausführungen:</w:t>
            </w:r>
          </w:p>
        </w:tc>
        <w:tc>
          <w:tcPr>
            <w:tcW w:w="0" w:type="auto"/>
            <w:hideMark/>
          </w:tcPr>
          <w:p w:rsidR="001767C3" w:rsidRPr="005001F3" w:rsidRDefault="00735B07" w:rsidP="00D01517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Gehäuse, ggf. mit Montageplatte lose beigelegt, passendes Befestigungszubehör, Befestigungssatz für Schutzleiteranschluss, Schlüssel</w:t>
            </w:r>
          </w:p>
        </w:tc>
      </w:tr>
    </w:tbl>
    <w:p w:rsidR="00D01517" w:rsidRDefault="00D01517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8"/>
        <w:gridCol w:w="6386"/>
      </w:tblGrid>
      <w:tr w:rsidR="00D01517" w:rsidRPr="00D01517" w:rsidTr="001B4CB8">
        <w:tc>
          <w:tcPr>
            <w:tcW w:w="1909" w:type="dxa"/>
            <w:tcBorders>
              <w:left w:val="single" w:sz="4" w:space="0" w:color="auto"/>
            </w:tcBorders>
          </w:tcPr>
          <w:p w:rsidR="00D01517" w:rsidRPr="005001F3" w:rsidRDefault="00473F36" w:rsidP="00473F3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</w:t>
            </w:r>
            <w:r w:rsidR="00D01517">
              <w:rPr>
                <w:rFonts w:ascii="Arial" w:hAnsi="Arial" w:cs="Arial"/>
              </w:rPr>
              <w:t>: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D01517" w:rsidRPr="00D01517" w:rsidRDefault="00D01517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GH02ST005</w:t>
            </w:r>
          </w:p>
        </w:tc>
      </w:tr>
      <w:tr w:rsidR="00D01517" w:rsidRPr="005001F3" w:rsidTr="001B4CB8">
        <w:tc>
          <w:tcPr>
            <w:tcW w:w="1909" w:type="dxa"/>
            <w:tcBorders>
              <w:left w:val="single" w:sz="4" w:space="0" w:color="auto"/>
            </w:tcBorders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Material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01517">
              <w:rPr>
                <w:rFonts w:ascii="Arial" w:hAnsi="Arial" w:cs="Arial"/>
              </w:rPr>
              <w:t>Gehäuse aus Stahlblech</w:t>
            </w:r>
          </w:p>
        </w:tc>
      </w:tr>
      <w:tr w:rsidR="00FD6422" w:rsidRPr="005001F3" w:rsidTr="001B4CB8">
        <w:tc>
          <w:tcPr>
            <w:tcW w:w="1909" w:type="dxa"/>
            <w:tcBorders>
              <w:left w:val="single" w:sz="4" w:space="0" w:color="auto"/>
            </w:tcBorders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Maße: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FD6422" w:rsidRPr="00D01517" w:rsidRDefault="0047054F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x 150 x 80 mm bis 700 x 400 x 120 mm</w:t>
            </w:r>
          </w:p>
        </w:tc>
      </w:tr>
      <w:tr w:rsidR="00D01517" w:rsidRPr="005001F3" w:rsidTr="004451DB">
        <w:tc>
          <w:tcPr>
            <w:tcW w:w="0" w:type="auto"/>
            <w:hideMark/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Schutzart:</w:t>
            </w:r>
          </w:p>
        </w:tc>
        <w:tc>
          <w:tcPr>
            <w:tcW w:w="0" w:type="auto"/>
            <w:hideMark/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IP66</w:t>
            </w:r>
            <w:hyperlink r:id="rId13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 xml:space="preserve">- nach VDE 0470/ DIN 40050/ EN 60529 </w:t>
              </w:r>
            </w:hyperlink>
          </w:p>
        </w:tc>
      </w:tr>
      <w:tr w:rsidR="00D01517" w:rsidRPr="005001F3" w:rsidTr="004451DB">
        <w:tc>
          <w:tcPr>
            <w:tcW w:w="0" w:type="auto"/>
            <w:hideMark/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</w:t>
            </w:r>
            <w:r w:rsidRPr="005001F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hideMark/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D01517">
              <w:rPr>
                <w:rFonts w:ascii="Arial" w:hAnsi="Arial" w:cs="Arial"/>
              </w:rPr>
              <w:t>Pulverlackbeschichtung lichtgrau (ähnlich RAL 7035), leicht strukturiert</w:t>
            </w:r>
          </w:p>
        </w:tc>
      </w:tr>
      <w:tr w:rsidR="00D01517" w:rsidRPr="005001F3" w:rsidTr="004451DB">
        <w:tc>
          <w:tcPr>
            <w:tcW w:w="0" w:type="auto"/>
            <w:hideMark/>
          </w:tcPr>
          <w:p w:rsidR="00D01517" w:rsidRPr="005001F3" w:rsidRDefault="00D01517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Ausführungen:</w:t>
            </w:r>
          </w:p>
        </w:tc>
        <w:tc>
          <w:tcPr>
            <w:tcW w:w="0" w:type="auto"/>
            <w:hideMark/>
          </w:tcPr>
          <w:p w:rsidR="00D01517" w:rsidRPr="005001F3" w:rsidRDefault="00533E4D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Klemmenkasten mit Deckel, inkl. montierter Befestigungsschiene</w:t>
            </w:r>
          </w:p>
        </w:tc>
      </w:tr>
    </w:tbl>
    <w:p w:rsidR="00D01517" w:rsidRDefault="00D01517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6356"/>
      </w:tblGrid>
      <w:tr w:rsidR="00FD6422" w:rsidRPr="00D01517" w:rsidTr="001B4CB8">
        <w:tc>
          <w:tcPr>
            <w:tcW w:w="1909" w:type="dxa"/>
            <w:tcBorders>
              <w:left w:val="single" w:sz="4" w:space="0" w:color="auto"/>
            </w:tcBorders>
          </w:tcPr>
          <w:p w:rsidR="00FD6422" w:rsidRPr="005001F3" w:rsidRDefault="00473F36" w:rsidP="00473F3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FD642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ie</w:t>
            </w:r>
            <w:r w:rsidR="00FD6422">
              <w:rPr>
                <w:rFonts w:ascii="Arial" w:hAnsi="Arial" w:cs="Arial"/>
              </w:rPr>
              <w:t>: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FD6422" w:rsidRPr="00D01517" w:rsidRDefault="00FD6422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GH02ST105</w:t>
            </w:r>
          </w:p>
        </w:tc>
      </w:tr>
      <w:tr w:rsidR="00FD6422" w:rsidRPr="005001F3" w:rsidTr="001B4CB8">
        <w:tc>
          <w:tcPr>
            <w:tcW w:w="1909" w:type="dxa"/>
            <w:tcBorders>
              <w:left w:val="single" w:sz="4" w:space="0" w:color="auto"/>
            </w:tcBorders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Material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D6422">
              <w:rPr>
                <w:rFonts w:ascii="Arial" w:hAnsi="Arial" w:cs="Arial"/>
              </w:rPr>
              <w:t>Gehäuse aus Edelstahl 1.4301</w:t>
            </w:r>
          </w:p>
        </w:tc>
      </w:tr>
      <w:tr w:rsidR="00FD6422" w:rsidRPr="005001F3" w:rsidTr="001B4CB8">
        <w:tc>
          <w:tcPr>
            <w:tcW w:w="1909" w:type="dxa"/>
            <w:tcBorders>
              <w:left w:val="single" w:sz="4" w:space="0" w:color="auto"/>
            </w:tcBorders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Maße:</w:t>
            </w:r>
          </w:p>
        </w:tc>
        <w:tc>
          <w:tcPr>
            <w:tcW w:w="6124" w:type="dxa"/>
            <w:tcBorders>
              <w:right w:val="single" w:sz="4" w:space="0" w:color="auto"/>
            </w:tcBorders>
          </w:tcPr>
          <w:p w:rsidR="00FD6422" w:rsidRPr="00FD6422" w:rsidRDefault="0047054F" w:rsidP="004451D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x 200 x 100 mm bis 700 x 200 x 100 mm</w:t>
            </w:r>
          </w:p>
        </w:tc>
      </w:tr>
      <w:tr w:rsidR="00FD6422" w:rsidRPr="005001F3" w:rsidTr="004451DB">
        <w:tc>
          <w:tcPr>
            <w:tcW w:w="0" w:type="auto"/>
            <w:hideMark/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Schutzart:</w:t>
            </w:r>
          </w:p>
        </w:tc>
        <w:tc>
          <w:tcPr>
            <w:tcW w:w="0" w:type="auto"/>
            <w:hideMark/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IP66</w:t>
            </w:r>
            <w:hyperlink r:id="rId14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 xml:space="preserve">- nach VDE 0470/ DIN 40050/ EN 60529 </w:t>
              </w:r>
            </w:hyperlink>
          </w:p>
        </w:tc>
      </w:tr>
      <w:tr w:rsidR="00FD6422" w:rsidRPr="005001F3" w:rsidTr="004451DB">
        <w:tc>
          <w:tcPr>
            <w:tcW w:w="0" w:type="auto"/>
            <w:hideMark/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Oberfläche</w:t>
            </w:r>
            <w:r w:rsidRPr="005001F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hideMark/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außen gebürstet</w:t>
            </w:r>
          </w:p>
        </w:tc>
      </w:tr>
      <w:tr w:rsidR="00FD6422" w:rsidRPr="005001F3" w:rsidTr="004451DB">
        <w:tc>
          <w:tcPr>
            <w:tcW w:w="0" w:type="auto"/>
            <w:hideMark/>
          </w:tcPr>
          <w:p w:rsidR="00FD6422" w:rsidRPr="005001F3" w:rsidRDefault="00FD6422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Ausführungen:</w:t>
            </w:r>
          </w:p>
        </w:tc>
        <w:tc>
          <w:tcPr>
            <w:tcW w:w="0" w:type="auto"/>
            <w:hideMark/>
          </w:tcPr>
          <w:p w:rsidR="00FD6422" w:rsidRPr="005001F3" w:rsidRDefault="00473F36" w:rsidP="004451D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Klemmenkasten</w:t>
            </w:r>
            <w:r w:rsidR="00533E4D">
              <w:rPr>
                <w:rFonts w:ascii="Arial" w:hAnsi="Arial" w:cs="Arial"/>
              </w:rPr>
              <w:t xml:space="preserve"> mit Deckel,</w:t>
            </w:r>
            <w:r>
              <w:rPr>
                <w:rFonts w:ascii="Arial" w:hAnsi="Arial" w:cs="Arial"/>
              </w:rPr>
              <w:t xml:space="preserve"> inkl. montierter Befestigungsschiene</w:t>
            </w:r>
          </w:p>
        </w:tc>
      </w:tr>
    </w:tbl>
    <w:p w:rsidR="005001F3" w:rsidRDefault="005001F3" w:rsidP="00EB5698">
      <w:pPr>
        <w:spacing w:after="0" w:line="360" w:lineRule="auto"/>
        <w:contextualSpacing/>
        <w:jc w:val="both"/>
      </w:pPr>
    </w:p>
    <w:p w:rsidR="00573485" w:rsidRDefault="00573485" w:rsidP="00EB5698">
      <w:pPr>
        <w:spacing w:after="0" w:line="360" w:lineRule="auto"/>
        <w:contextualSpacing/>
        <w:jc w:val="both"/>
      </w:pPr>
    </w:p>
    <w:p w:rsidR="0047054F" w:rsidRDefault="001D1327" w:rsidP="001D1327">
      <w:pPr>
        <w:spacing w:after="0"/>
        <w:jc w:val="both"/>
        <w:rPr>
          <w:rFonts w:ascii="Arial" w:hAnsi="Arial" w:cs="Arial"/>
        </w:rPr>
      </w:pPr>
      <w:r w:rsidRPr="001D1327">
        <w:rPr>
          <w:rFonts w:ascii="Arial" w:hAnsi="Arial" w:cs="Arial"/>
        </w:rPr>
        <w:t>Weitere Informatio</w:t>
      </w:r>
      <w:r w:rsidR="0047054F">
        <w:rPr>
          <w:rFonts w:ascii="Arial" w:hAnsi="Arial" w:cs="Arial"/>
        </w:rPr>
        <w:t>nen unter</w:t>
      </w:r>
      <w:r w:rsidR="002F69A2">
        <w:rPr>
          <w:rFonts w:ascii="Arial" w:hAnsi="Arial" w:cs="Arial"/>
        </w:rPr>
        <w:t xml:space="preserve"> Stahlblechgehäuse auf </w:t>
      </w:r>
      <w:hyperlink r:id="rId15" w:history="1">
        <w:r w:rsidR="00677D5C" w:rsidRPr="00677D5C">
          <w:rPr>
            <w:rStyle w:val="Hyperlink"/>
            <w:color w:val="009DA2"/>
            <w:sz w:val="22"/>
            <w:szCs w:val="22"/>
          </w:rPr>
          <w:t>www.Indu</w:t>
        </w:r>
        <w:bookmarkStart w:id="0" w:name="_GoBack"/>
        <w:bookmarkEnd w:id="0"/>
        <w:r w:rsidR="00677D5C" w:rsidRPr="00677D5C">
          <w:rPr>
            <w:rStyle w:val="Hyperlink"/>
            <w:color w:val="009DA2"/>
            <w:sz w:val="22"/>
            <w:szCs w:val="22"/>
          </w:rPr>
          <w:t>striegehaeuse.de</w:t>
        </w:r>
      </w:hyperlink>
      <w:r w:rsidR="00677D5C">
        <w:rPr>
          <w:rFonts w:ascii="Arial" w:hAnsi="Arial" w:cs="Arial"/>
        </w:rPr>
        <w:t xml:space="preserve"> </w:t>
      </w:r>
    </w:p>
    <w:p w:rsidR="000E6D3D" w:rsidRDefault="000E6D3D" w:rsidP="00EB5698">
      <w:pPr>
        <w:spacing w:after="0" w:line="360" w:lineRule="auto"/>
        <w:contextualSpacing/>
        <w:jc w:val="both"/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>nternehmen</w:t>
      </w:r>
      <w:r w:rsidR="0071435E">
        <w:rPr>
          <w:rFonts w:ascii="Arial" w:hAnsi="Arial" w:cs="Arial"/>
        </w:rPr>
        <w:t xml:space="preserve"> im Nordschwarzwald. Mit über 90</w:t>
      </w:r>
      <w:r w:rsidRPr="008D45D8">
        <w:rPr>
          <w:rFonts w:ascii="Arial" w:hAnsi="Arial" w:cs="Arial"/>
        </w:rPr>
        <w:t xml:space="preserve"> Mitarbeitern entwickelt, fertig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Industriekomponenten für die Bereiche 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Default="000E6D3D" w:rsidP="008D45D8">
      <w:pPr>
        <w:spacing w:after="0"/>
        <w:jc w:val="both"/>
        <w:rPr>
          <w:rFonts w:ascii="Arial" w:hAnsi="Arial" w:cs="Arial"/>
        </w:rPr>
      </w:pPr>
    </w:p>
    <w:p w:rsidR="00193AFE" w:rsidRPr="008D45D8" w:rsidRDefault="00193AFE" w:rsidP="008D45D8">
      <w:pPr>
        <w:spacing w:after="0"/>
        <w:jc w:val="both"/>
        <w:rPr>
          <w:rFonts w:ascii="Arial" w:hAnsi="Arial" w:cs="Arial"/>
        </w:rPr>
      </w:pPr>
    </w:p>
    <w:p w:rsidR="001910B5" w:rsidRPr="00FD2BCA" w:rsidRDefault="001910B5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6" w:history="1">
        <w:r w:rsidR="00677D5C" w:rsidRPr="00677D5C">
          <w:rPr>
            <w:rStyle w:val="Hyperlink"/>
            <w:color w:val="009DA2"/>
            <w:sz w:val="22"/>
            <w:szCs w:val="22"/>
          </w:rPr>
          <w:t>http://www.woehrgmbh.de/de/aktuelles-presse/pressecenter/</w:t>
        </w:r>
      </w:hyperlink>
      <w:r w:rsidR="00677D5C">
        <w:t xml:space="preserve"> 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lastRenderedPageBreak/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7" w:history="1">
        <w:r w:rsidR="003078BA"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8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10" w:rsidRDefault="005B5010" w:rsidP="003C1C57">
      <w:pPr>
        <w:spacing w:after="0" w:line="240" w:lineRule="auto"/>
      </w:pPr>
      <w:r>
        <w:separator/>
      </w:r>
    </w:p>
  </w:endnote>
  <w:endnote w:type="continuationSeparator" w:id="0">
    <w:p w:rsidR="005B5010" w:rsidRDefault="005B5010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lemat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10" w:rsidRDefault="005B5010" w:rsidP="003C1C57">
      <w:pPr>
        <w:spacing w:after="0" w:line="240" w:lineRule="auto"/>
      </w:pPr>
      <w:r>
        <w:separator/>
      </w:r>
    </w:p>
  </w:footnote>
  <w:footnote w:type="continuationSeparator" w:id="0">
    <w:p w:rsidR="005B5010" w:rsidRDefault="005B5010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1CB"/>
    <w:multiLevelType w:val="hybridMultilevel"/>
    <w:tmpl w:val="A2DAF92E"/>
    <w:lvl w:ilvl="0" w:tplc="2634F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32968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B4A80"/>
    <w:rsid w:val="000C31C3"/>
    <w:rsid w:val="000C53F7"/>
    <w:rsid w:val="000C5C40"/>
    <w:rsid w:val="000D2643"/>
    <w:rsid w:val="000D5567"/>
    <w:rsid w:val="000E6D3D"/>
    <w:rsid w:val="00106DB4"/>
    <w:rsid w:val="0011464F"/>
    <w:rsid w:val="0012777C"/>
    <w:rsid w:val="00127BA5"/>
    <w:rsid w:val="00133181"/>
    <w:rsid w:val="00141220"/>
    <w:rsid w:val="001644D0"/>
    <w:rsid w:val="00166445"/>
    <w:rsid w:val="001677A3"/>
    <w:rsid w:val="001767C3"/>
    <w:rsid w:val="00182759"/>
    <w:rsid w:val="001836AF"/>
    <w:rsid w:val="00184C7E"/>
    <w:rsid w:val="00187B75"/>
    <w:rsid w:val="00190040"/>
    <w:rsid w:val="001910B5"/>
    <w:rsid w:val="00191AA8"/>
    <w:rsid w:val="00192832"/>
    <w:rsid w:val="00193AFE"/>
    <w:rsid w:val="001B4CB8"/>
    <w:rsid w:val="001D1327"/>
    <w:rsid w:val="001E2027"/>
    <w:rsid w:val="001E5225"/>
    <w:rsid w:val="001F24BD"/>
    <w:rsid w:val="001F4D8E"/>
    <w:rsid w:val="0020335E"/>
    <w:rsid w:val="00205956"/>
    <w:rsid w:val="002073E0"/>
    <w:rsid w:val="002127F1"/>
    <w:rsid w:val="00215694"/>
    <w:rsid w:val="00222D11"/>
    <w:rsid w:val="00267829"/>
    <w:rsid w:val="00274CF8"/>
    <w:rsid w:val="002A0EF9"/>
    <w:rsid w:val="002A36BB"/>
    <w:rsid w:val="002D3800"/>
    <w:rsid w:val="002E7A78"/>
    <w:rsid w:val="002F543D"/>
    <w:rsid w:val="002F69A2"/>
    <w:rsid w:val="0030328B"/>
    <w:rsid w:val="003078BA"/>
    <w:rsid w:val="00315FD4"/>
    <w:rsid w:val="0032151B"/>
    <w:rsid w:val="00327CC8"/>
    <w:rsid w:val="003334CB"/>
    <w:rsid w:val="003372D5"/>
    <w:rsid w:val="003462EC"/>
    <w:rsid w:val="00346FA9"/>
    <w:rsid w:val="00352133"/>
    <w:rsid w:val="00360BEA"/>
    <w:rsid w:val="003610B2"/>
    <w:rsid w:val="00365F44"/>
    <w:rsid w:val="003705CE"/>
    <w:rsid w:val="00373180"/>
    <w:rsid w:val="0038434F"/>
    <w:rsid w:val="0038777F"/>
    <w:rsid w:val="00394180"/>
    <w:rsid w:val="003961EC"/>
    <w:rsid w:val="003A0A2B"/>
    <w:rsid w:val="003A4F1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24EB6"/>
    <w:rsid w:val="00426728"/>
    <w:rsid w:val="00434979"/>
    <w:rsid w:val="00435162"/>
    <w:rsid w:val="00437910"/>
    <w:rsid w:val="0044436D"/>
    <w:rsid w:val="00453F96"/>
    <w:rsid w:val="0047054F"/>
    <w:rsid w:val="00473F36"/>
    <w:rsid w:val="0049500A"/>
    <w:rsid w:val="004A2DE5"/>
    <w:rsid w:val="004A3162"/>
    <w:rsid w:val="004A4274"/>
    <w:rsid w:val="004A4947"/>
    <w:rsid w:val="004B5EC1"/>
    <w:rsid w:val="004B6A26"/>
    <w:rsid w:val="004D003E"/>
    <w:rsid w:val="004E2AFD"/>
    <w:rsid w:val="004E7BFE"/>
    <w:rsid w:val="004F2443"/>
    <w:rsid w:val="005001F3"/>
    <w:rsid w:val="00500B8D"/>
    <w:rsid w:val="00507B6B"/>
    <w:rsid w:val="005133CD"/>
    <w:rsid w:val="00533E4D"/>
    <w:rsid w:val="005520CA"/>
    <w:rsid w:val="00552848"/>
    <w:rsid w:val="00553689"/>
    <w:rsid w:val="00560426"/>
    <w:rsid w:val="00566160"/>
    <w:rsid w:val="0057153A"/>
    <w:rsid w:val="005718E5"/>
    <w:rsid w:val="00573485"/>
    <w:rsid w:val="00581EFA"/>
    <w:rsid w:val="00585E3C"/>
    <w:rsid w:val="00592105"/>
    <w:rsid w:val="005A20AD"/>
    <w:rsid w:val="005B5010"/>
    <w:rsid w:val="005B501A"/>
    <w:rsid w:val="005C337A"/>
    <w:rsid w:val="005D3ED5"/>
    <w:rsid w:val="005D3FD1"/>
    <w:rsid w:val="005E28F3"/>
    <w:rsid w:val="005E3421"/>
    <w:rsid w:val="005E3DD6"/>
    <w:rsid w:val="005F062D"/>
    <w:rsid w:val="005F3F94"/>
    <w:rsid w:val="006108FF"/>
    <w:rsid w:val="006375FB"/>
    <w:rsid w:val="00642D5D"/>
    <w:rsid w:val="00651847"/>
    <w:rsid w:val="00652A8F"/>
    <w:rsid w:val="00663F67"/>
    <w:rsid w:val="00667B6C"/>
    <w:rsid w:val="00671E28"/>
    <w:rsid w:val="00673DCA"/>
    <w:rsid w:val="0067472F"/>
    <w:rsid w:val="00677D5C"/>
    <w:rsid w:val="00683099"/>
    <w:rsid w:val="006A6E9D"/>
    <w:rsid w:val="006C2E57"/>
    <w:rsid w:val="006E3BC5"/>
    <w:rsid w:val="006E55A4"/>
    <w:rsid w:val="0071435E"/>
    <w:rsid w:val="00723E2A"/>
    <w:rsid w:val="00724DD8"/>
    <w:rsid w:val="00730F8A"/>
    <w:rsid w:val="00735B07"/>
    <w:rsid w:val="0073734C"/>
    <w:rsid w:val="00746628"/>
    <w:rsid w:val="007538ED"/>
    <w:rsid w:val="0076117E"/>
    <w:rsid w:val="007625C8"/>
    <w:rsid w:val="00763247"/>
    <w:rsid w:val="007649A4"/>
    <w:rsid w:val="00766A07"/>
    <w:rsid w:val="00773096"/>
    <w:rsid w:val="007744E2"/>
    <w:rsid w:val="007753D8"/>
    <w:rsid w:val="007831CC"/>
    <w:rsid w:val="0079032B"/>
    <w:rsid w:val="007B2E36"/>
    <w:rsid w:val="007C4EA3"/>
    <w:rsid w:val="007C7867"/>
    <w:rsid w:val="007D16F5"/>
    <w:rsid w:val="007D2284"/>
    <w:rsid w:val="007D55E5"/>
    <w:rsid w:val="007D6803"/>
    <w:rsid w:val="007E7AE5"/>
    <w:rsid w:val="0082136F"/>
    <w:rsid w:val="008554E3"/>
    <w:rsid w:val="008728D7"/>
    <w:rsid w:val="0088233A"/>
    <w:rsid w:val="008960A1"/>
    <w:rsid w:val="008A3CAB"/>
    <w:rsid w:val="008B1FB7"/>
    <w:rsid w:val="008B29CF"/>
    <w:rsid w:val="008B669E"/>
    <w:rsid w:val="008C18C6"/>
    <w:rsid w:val="008C5A58"/>
    <w:rsid w:val="008C707D"/>
    <w:rsid w:val="008D45D8"/>
    <w:rsid w:val="008D59E4"/>
    <w:rsid w:val="008E016E"/>
    <w:rsid w:val="008E504D"/>
    <w:rsid w:val="008F063F"/>
    <w:rsid w:val="008F2E5F"/>
    <w:rsid w:val="008F46A2"/>
    <w:rsid w:val="008F4B92"/>
    <w:rsid w:val="008F5FE4"/>
    <w:rsid w:val="00914141"/>
    <w:rsid w:val="00921E69"/>
    <w:rsid w:val="00927297"/>
    <w:rsid w:val="00934AA2"/>
    <w:rsid w:val="00942E77"/>
    <w:rsid w:val="00961715"/>
    <w:rsid w:val="009673DE"/>
    <w:rsid w:val="0097767F"/>
    <w:rsid w:val="009B32F3"/>
    <w:rsid w:val="009B6B4A"/>
    <w:rsid w:val="009B710F"/>
    <w:rsid w:val="009C45D9"/>
    <w:rsid w:val="009C5499"/>
    <w:rsid w:val="009C64CD"/>
    <w:rsid w:val="009E59F6"/>
    <w:rsid w:val="009F4F47"/>
    <w:rsid w:val="009F7E59"/>
    <w:rsid w:val="00A0091B"/>
    <w:rsid w:val="00A06376"/>
    <w:rsid w:val="00A27AE6"/>
    <w:rsid w:val="00A521A4"/>
    <w:rsid w:val="00A528F9"/>
    <w:rsid w:val="00A815ED"/>
    <w:rsid w:val="00A874A1"/>
    <w:rsid w:val="00A95460"/>
    <w:rsid w:val="00AC2DA5"/>
    <w:rsid w:val="00AD169B"/>
    <w:rsid w:val="00AF2058"/>
    <w:rsid w:val="00AF70D9"/>
    <w:rsid w:val="00AF7D64"/>
    <w:rsid w:val="00B10086"/>
    <w:rsid w:val="00B1104F"/>
    <w:rsid w:val="00B17EF2"/>
    <w:rsid w:val="00B26B48"/>
    <w:rsid w:val="00B367A1"/>
    <w:rsid w:val="00B406E2"/>
    <w:rsid w:val="00B6309D"/>
    <w:rsid w:val="00B638AD"/>
    <w:rsid w:val="00B74941"/>
    <w:rsid w:val="00B757AB"/>
    <w:rsid w:val="00B956F7"/>
    <w:rsid w:val="00B9658D"/>
    <w:rsid w:val="00BA13D2"/>
    <w:rsid w:val="00BC0650"/>
    <w:rsid w:val="00BD11B9"/>
    <w:rsid w:val="00BE002A"/>
    <w:rsid w:val="00BE02F3"/>
    <w:rsid w:val="00BE468D"/>
    <w:rsid w:val="00BE51BD"/>
    <w:rsid w:val="00BE587D"/>
    <w:rsid w:val="00BE775F"/>
    <w:rsid w:val="00BF0247"/>
    <w:rsid w:val="00BF20D4"/>
    <w:rsid w:val="00C00B23"/>
    <w:rsid w:val="00C26B85"/>
    <w:rsid w:val="00C33408"/>
    <w:rsid w:val="00C546F7"/>
    <w:rsid w:val="00C579C1"/>
    <w:rsid w:val="00C61854"/>
    <w:rsid w:val="00C83289"/>
    <w:rsid w:val="00CA5188"/>
    <w:rsid w:val="00CC2766"/>
    <w:rsid w:val="00CE278B"/>
    <w:rsid w:val="00CE2F37"/>
    <w:rsid w:val="00CF2680"/>
    <w:rsid w:val="00CF3A61"/>
    <w:rsid w:val="00CF6616"/>
    <w:rsid w:val="00D01517"/>
    <w:rsid w:val="00D03F80"/>
    <w:rsid w:val="00D07934"/>
    <w:rsid w:val="00D10BB7"/>
    <w:rsid w:val="00D120C4"/>
    <w:rsid w:val="00D3314B"/>
    <w:rsid w:val="00D53CCB"/>
    <w:rsid w:val="00D60402"/>
    <w:rsid w:val="00D60845"/>
    <w:rsid w:val="00D64020"/>
    <w:rsid w:val="00D709AC"/>
    <w:rsid w:val="00D75395"/>
    <w:rsid w:val="00D75DA1"/>
    <w:rsid w:val="00D824BC"/>
    <w:rsid w:val="00D82632"/>
    <w:rsid w:val="00D875FE"/>
    <w:rsid w:val="00D87C75"/>
    <w:rsid w:val="00D92B7B"/>
    <w:rsid w:val="00D9480B"/>
    <w:rsid w:val="00DB22C8"/>
    <w:rsid w:val="00DB4B0C"/>
    <w:rsid w:val="00DD3170"/>
    <w:rsid w:val="00DD3CB1"/>
    <w:rsid w:val="00DE0171"/>
    <w:rsid w:val="00DE207E"/>
    <w:rsid w:val="00DF564F"/>
    <w:rsid w:val="00E05E6D"/>
    <w:rsid w:val="00E0649E"/>
    <w:rsid w:val="00E071DD"/>
    <w:rsid w:val="00E112C0"/>
    <w:rsid w:val="00E13B08"/>
    <w:rsid w:val="00E20CB4"/>
    <w:rsid w:val="00E23429"/>
    <w:rsid w:val="00E25323"/>
    <w:rsid w:val="00E2718F"/>
    <w:rsid w:val="00E371BE"/>
    <w:rsid w:val="00E37689"/>
    <w:rsid w:val="00E44917"/>
    <w:rsid w:val="00E51B8F"/>
    <w:rsid w:val="00E66FCC"/>
    <w:rsid w:val="00E71CEA"/>
    <w:rsid w:val="00E76F9D"/>
    <w:rsid w:val="00E82DFC"/>
    <w:rsid w:val="00E84F4A"/>
    <w:rsid w:val="00E8657C"/>
    <w:rsid w:val="00E93D35"/>
    <w:rsid w:val="00EB5698"/>
    <w:rsid w:val="00ED449F"/>
    <w:rsid w:val="00EE5875"/>
    <w:rsid w:val="00EE6B04"/>
    <w:rsid w:val="00F148A4"/>
    <w:rsid w:val="00F15DBE"/>
    <w:rsid w:val="00F21696"/>
    <w:rsid w:val="00F26768"/>
    <w:rsid w:val="00F36704"/>
    <w:rsid w:val="00F36C41"/>
    <w:rsid w:val="00F37C1A"/>
    <w:rsid w:val="00F519CD"/>
    <w:rsid w:val="00F61B90"/>
    <w:rsid w:val="00F62D7F"/>
    <w:rsid w:val="00F65C79"/>
    <w:rsid w:val="00F75853"/>
    <w:rsid w:val="00F85C1D"/>
    <w:rsid w:val="00FC7224"/>
    <w:rsid w:val="00FD2BCA"/>
    <w:rsid w:val="00FD6422"/>
    <w:rsid w:val="00FE4976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42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F2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2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42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F2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2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dustriegehaeuse.de/de/unternehmen/schutzarte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dustriegehaeuse.de/de/unternehmen/schutzarten/" TargetMode="External"/><Relationship Id="rId17" Type="http://schemas.openxmlformats.org/officeDocument/2006/relationships/hyperlink" Target="mailto:K.Maier@WoehrGmbH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ehrgmbh.de/de/aktuelles-presse/pressecent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ustriegehaeuse.de/de/unternehmen/schutzart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dustriegehaeuse.de" TargetMode="External"/><Relationship Id="rId10" Type="http://schemas.openxmlformats.org/officeDocument/2006/relationships/hyperlink" Target="http://www.industriegehaeuse.de/unternehmen/oberflaeche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/unternehmen/bearbeitung/" TargetMode="External"/><Relationship Id="rId14" Type="http://schemas.openxmlformats.org/officeDocument/2006/relationships/hyperlink" Target="http://www.industriegehaeuse.de/de/unternehmen/schutzart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93CA-3D93-4726-89C4-77637977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3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Jacqueline Thumm</cp:lastModifiedBy>
  <cp:revision>38</cp:revision>
  <cp:lastPrinted>2016-10-20T08:19:00Z</cp:lastPrinted>
  <dcterms:created xsi:type="dcterms:W3CDTF">2016-10-11T13:18:00Z</dcterms:created>
  <dcterms:modified xsi:type="dcterms:W3CDTF">2016-10-20T08:20:00Z</dcterms:modified>
</cp:coreProperties>
</file>