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proofErr w:type="gramStart"/>
      <w:r>
        <w:rPr>
          <w:rFonts w:ascii="Arial" w:hAnsi="Arial" w:cs="Arial"/>
          <w:b/>
          <w:spacing w:val="59"/>
          <w:sz w:val="28"/>
          <w:szCs w:val="28"/>
        </w:rPr>
        <w:t>PRESSEMELDUNG</w:t>
      </w:r>
      <w:r>
        <w:rPr>
          <w:rFonts w:ascii="Arial" w:hAnsi="Arial" w:cs="Arial"/>
          <w:b/>
          <w:spacing w:val="1"/>
          <w:sz w:val="28"/>
          <w:szCs w:val="28"/>
        </w:rPr>
        <w:t xml:space="preserve">  |</w:t>
      </w:r>
      <w:proofErr w:type="gramEnd"/>
      <w:r>
        <w:rPr>
          <w:rFonts w:ascii="Arial" w:hAnsi="Arial" w:cs="Arial"/>
          <w:b/>
          <w:spacing w:val="1"/>
          <w:sz w:val="28"/>
          <w:szCs w:val="28"/>
        </w:rPr>
        <w:t xml:space="preserve">  16.09.2021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Kleines Hutschienengehäuse für kompakte Anwendung</w:t>
      </w:r>
    </w:p>
    <w:p>
      <w:pPr>
        <w:pStyle w:val="berschrift1"/>
        <w:spacing w:line="276" w:lineRule="auto"/>
        <w:rPr>
          <w:rFonts w:ascii="Arial" w:hAnsi="Arial" w:cs="Arial"/>
          <w:sz w:val="22"/>
          <w:szCs w:val="22"/>
        </w:rPr>
      </w:pPr>
      <w:r>
        <w:rPr>
          <w:rFonts w:ascii="Arial" w:hAnsi="Arial" w:cs="Arial"/>
          <w:sz w:val="22"/>
          <w:szCs w:val="22"/>
        </w:rPr>
        <w:t>Wöhr erweitert Produktportfolio um die Modulgehäuse Serie M1 LOW</w:t>
      </w:r>
    </w:p>
    <w:p>
      <w:pPr>
        <w:spacing w:after="0" w:line="360" w:lineRule="auto"/>
        <w:contextualSpacing/>
        <w:jc w:val="both"/>
        <w:rPr>
          <w:rFonts w:ascii="Arial" w:hAnsi="Arial" w:cs="Arial"/>
        </w:rPr>
      </w:pPr>
      <w:r>
        <w:rPr>
          <w:rFonts w:ascii="Arial" w:hAnsi="Arial" w:cs="Arial"/>
          <w:b/>
          <w:noProof/>
          <w:spacing w:val="1"/>
          <w:sz w:val="28"/>
          <w:szCs w:val="28"/>
        </w:rPr>
        <w:drawing>
          <wp:anchor distT="0" distB="0" distL="114300" distR="114300" simplePos="0" relativeHeight="251660800" behindDoc="0" locked="0" layoutInCell="1" allowOverlap="1">
            <wp:simplePos x="0" y="0"/>
            <wp:positionH relativeFrom="column">
              <wp:posOffset>4212590</wp:posOffset>
            </wp:positionH>
            <wp:positionV relativeFrom="paragraph">
              <wp:posOffset>2192020</wp:posOffset>
            </wp:positionV>
            <wp:extent cx="1266190" cy="247142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569" t="15760" r="26418" b="20482"/>
                    <a:stretch/>
                  </pic:blipFill>
                  <pic:spPr bwMode="auto">
                    <a:xfrm>
                      <a:off x="0" y="0"/>
                      <a:ext cx="1266190" cy="2471420"/>
                    </a:xfrm>
                    <a:prstGeom prst="rect">
                      <a:avLst/>
                    </a:prstGeom>
                    <a:noFill/>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 xml:space="preserve">Die Richard Wöhr GmbH mit Sitz im Nordschwarzwald bietet ab sofort ein 1-Modul Hutschienengehäuse in flacher Bauform für eine kompakte Anwendung an. Die Serie M1 LOW - für feste beziehungsweise schraubbare Klemmen </w:t>
      </w:r>
      <w:r>
        <w:rPr>
          <w:rFonts w:ascii="Arial" w:hAnsi="Arial" w:cs="Arial"/>
        </w:rPr>
        <w:t>bei zugleich flacher Bauform</w:t>
      </w:r>
      <w:r>
        <w:rPr>
          <w:rFonts w:ascii="Arial" w:hAnsi="Arial" w:cs="Arial"/>
        </w:rPr>
        <w:t>. Durch das schraubenlose Zusammenklipsen von Ober- und Unterteil wird eine schnelle Montage ermöglicht. Das 1-Modul Gehäuse zum Einbau von Elektronik hat eine Einbaubreite von 17,5mm und ist zur Montage auf eine DIN-Hutschiene oder an die Wand vorgesehen. Die Front kann kundenspezifisch bearbeitet werden um zum Beispiel Stecker, LEDs und Schalter aufzunehmen. Zudem besteht die Möglichkeit der kostengünstigen Gestaltung durch Siebdruck, Lackierung, Frontfolien bzw. Folientastaturen.</w:t>
      </w:r>
    </w:p>
    <w:p>
      <w:pPr>
        <w:spacing w:after="0" w:line="360" w:lineRule="auto"/>
        <w:contextualSpacing/>
        <w:jc w:val="both"/>
        <w:rPr>
          <w:rFonts w:ascii="Arial" w:hAnsi="Arial" w:cs="Arial"/>
          <w:b/>
          <w:bCs/>
          <w:color w:val="009DA2"/>
        </w:rPr>
      </w:pPr>
      <w:r>
        <w:rPr>
          <w:rFonts w:ascii="Arial" w:hAnsi="Arial" w:cs="Arial"/>
          <w:noProof/>
        </w:rPr>
        <w:drawing>
          <wp:anchor distT="0" distB="0" distL="114300" distR="114300" simplePos="0" relativeHeight="251685376" behindDoc="0" locked="0" layoutInCell="1" allowOverlap="1">
            <wp:simplePos x="0" y="0"/>
            <wp:positionH relativeFrom="column">
              <wp:posOffset>621030</wp:posOffset>
            </wp:positionH>
            <wp:positionV relativeFrom="paragraph">
              <wp:posOffset>854075</wp:posOffset>
            </wp:positionV>
            <wp:extent cx="2555875" cy="1216025"/>
            <wp:effectExtent l="0" t="0" r="0" b="412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colorTemperature colorTemp="5900"/>
                              </a14:imgEffect>
                              <a14:imgEffect>
                                <a14:brightnessContrast bright="20000" contrast="-20000"/>
                              </a14:imgEffect>
                            </a14:imgLayer>
                          </a14:imgProps>
                        </a:ext>
                        <a:ext uri="{28A0092B-C50C-407E-A947-70E740481C1C}">
                          <a14:useLocalDpi xmlns:a14="http://schemas.microsoft.com/office/drawing/2010/main" val="0"/>
                        </a:ext>
                      </a:extLst>
                    </a:blip>
                    <a:srcRect l="18520" t="35078" r="21036" b="21810"/>
                    <a:stretch/>
                  </pic:blipFill>
                  <pic:spPr bwMode="auto">
                    <a:xfrm>
                      <a:off x="0" y="0"/>
                      <a:ext cx="2555875" cy="1216025"/>
                    </a:xfrm>
                    <a:prstGeom prst="rect">
                      <a:avLst/>
                    </a:prstGeom>
                    <a:noFill/>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color w:val="009DA2"/>
        </w:rPr>
        <w:t>Technische Daten:</w:t>
      </w:r>
    </w:p>
    <w:tbl>
      <w:tblPr>
        <w:tblStyle w:val="Tabellenraster"/>
        <w:tblW w:w="8931" w:type="dxa"/>
        <w:tblInd w:w="108" w:type="dxa"/>
        <w:tblLook w:val="04A0" w:firstRow="1" w:lastRow="0" w:firstColumn="1" w:lastColumn="0" w:noHBand="0" w:noVBand="1"/>
      </w:tblPr>
      <w:tblGrid>
        <w:gridCol w:w="1978"/>
        <w:gridCol w:w="6953"/>
      </w:tblGrid>
      <w:tr>
        <w:trPr>
          <w:trHeight w:val="478"/>
        </w:trPr>
        <w:tc>
          <w:tcPr>
            <w:tcW w:w="1978" w:type="dxa"/>
            <w:hideMark/>
          </w:tcPr>
          <w:p>
            <w:pPr>
              <w:pStyle w:val="bodytext"/>
              <w:rPr>
                <w:rFonts w:ascii="Arial" w:hAnsi="Arial" w:cs="Arial"/>
                <w:b/>
                <w:bCs/>
                <w:sz w:val="20"/>
                <w:szCs w:val="20"/>
              </w:rPr>
            </w:pPr>
            <w:r>
              <w:rPr>
                <w:rFonts w:ascii="Arial" w:hAnsi="Arial" w:cs="Arial"/>
                <w:b/>
                <w:bCs/>
                <w:sz w:val="20"/>
                <w:szCs w:val="20"/>
              </w:rPr>
              <w:t>Material:</w:t>
            </w:r>
          </w:p>
        </w:tc>
        <w:tc>
          <w:tcPr>
            <w:tcW w:w="6953" w:type="dxa"/>
            <w:hideMark/>
          </w:tcPr>
          <w:p>
            <w:pPr>
              <w:pStyle w:val="bodytext"/>
              <w:rPr>
                <w:rFonts w:ascii="Arial" w:hAnsi="Arial" w:cs="Arial"/>
                <w:sz w:val="20"/>
                <w:szCs w:val="20"/>
              </w:rPr>
            </w:pPr>
            <w:r>
              <w:rPr>
                <w:rFonts w:ascii="Arial" w:hAnsi="Arial" w:cs="Arial"/>
                <w:sz w:val="20"/>
                <w:szCs w:val="20"/>
              </w:rPr>
              <w:t>Oberteil: Polycarbonat</w:t>
            </w:r>
            <w:r>
              <w:rPr>
                <w:rFonts w:ascii="Arial" w:hAnsi="Arial" w:cs="Arial"/>
                <w:sz w:val="20"/>
                <w:szCs w:val="20"/>
              </w:rPr>
              <w:br/>
              <w:t xml:space="preserve">Unterteil: </w:t>
            </w:r>
            <w:proofErr w:type="spellStart"/>
            <w:r>
              <w:rPr>
                <w:rFonts w:ascii="Arial" w:hAnsi="Arial" w:cs="Arial"/>
                <w:sz w:val="20"/>
                <w:szCs w:val="20"/>
              </w:rPr>
              <w:t>Noryl</w:t>
            </w:r>
            <w:proofErr w:type="spellEnd"/>
            <w:r>
              <w:rPr>
                <w:rFonts w:ascii="Arial" w:hAnsi="Arial" w:cs="Arial"/>
                <w:sz w:val="20"/>
                <w:szCs w:val="20"/>
              </w:rPr>
              <w:t xml:space="preserve"> </w:t>
            </w:r>
          </w:p>
        </w:tc>
      </w:tr>
      <w:tr>
        <w:trPr>
          <w:trHeight w:val="470"/>
        </w:trPr>
        <w:tc>
          <w:tcPr>
            <w:tcW w:w="1978" w:type="dxa"/>
            <w:hideMark/>
          </w:tcPr>
          <w:p>
            <w:pPr>
              <w:pStyle w:val="bodytext"/>
              <w:rPr>
                <w:rFonts w:ascii="Arial" w:hAnsi="Arial" w:cs="Arial"/>
                <w:b/>
                <w:bCs/>
                <w:sz w:val="20"/>
                <w:szCs w:val="20"/>
              </w:rPr>
            </w:pPr>
            <w:r>
              <w:rPr>
                <w:rFonts w:ascii="Arial" w:hAnsi="Arial" w:cs="Arial"/>
                <w:b/>
                <w:bCs/>
                <w:sz w:val="20"/>
                <w:szCs w:val="20"/>
              </w:rPr>
              <w:t>Farbe:</w:t>
            </w:r>
          </w:p>
        </w:tc>
        <w:tc>
          <w:tcPr>
            <w:tcW w:w="6953" w:type="dxa"/>
            <w:hideMark/>
          </w:tcPr>
          <w:p>
            <w:pPr>
              <w:pStyle w:val="bodytext"/>
              <w:rPr>
                <w:rFonts w:ascii="Arial" w:hAnsi="Arial" w:cs="Arial"/>
                <w:sz w:val="20"/>
                <w:szCs w:val="20"/>
              </w:rPr>
            </w:pPr>
            <w:r>
              <w:rPr>
                <w:rFonts w:ascii="Arial" w:hAnsi="Arial" w:cs="Arial"/>
                <w:sz w:val="20"/>
                <w:szCs w:val="20"/>
              </w:rPr>
              <w:t>Oberteil: grau (ähnlich RAL 7035)</w:t>
            </w:r>
            <w:r>
              <w:rPr>
                <w:rFonts w:ascii="Arial" w:hAnsi="Arial" w:cs="Arial"/>
                <w:sz w:val="20"/>
                <w:szCs w:val="20"/>
              </w:rPr>
              <w:br/>
              <w:t xml:space="preserve">Unterteil: schwarz (ähnlich RAL 7005) </w:t>
            </w:r>
          </w:p>
        </w:tc>
      </w:tr>
      <w:tr>
        <w:trPr>
          <w:trHeight w:val="478"/>
        </w:trPr>
        <w:tc>
          <w:tcPr>
            <w:tcW w:w="1978" w:type="dxa"/>
            <w:hideMark/>
          </w:tcPr>
          <w:p>
            <w:pPr>
              <w:rPr>
                <w:rFonts w:ascii="Arial" w:hAnsi="Arial" w:cs="Arial"/>
                <w:b/>
                <w:bCs/>
                <w:sz w:val="20"/>
                <w:szCs w:val="20"/>
              </w:rPr>
            </w:pPr>
            <w:r>
              <w:rPr>
                <w:rFonts w:ascii="Arial" w:hAnsi="Arial" w:cs="Arial"/>
                <w:b/>
                <w:bCs/>
                <w:sz w:val="20"/>
                <w:szCs w:val="20"/>
              </w:rPr>
              <w:t>Maße:</w:t>
            </w:r>
          </w:p>
        </w:tc>
        <w:tc>
          <w:tcPr>
            <w:tcW w:w="6953" w:type="dxa"/>
            <w:hideMark/>
          </w:tcPr>
          <w:p>
            <w:pPr>
              <w:pStyle w:val="bodytext"/>
              <w:rPr>
                <w:rFonts w:ascii="Arial" w:hAnsi="Arial" w:cs="Arial"/>
                <w:sz w:val="20"/>
                <w:szCs w:val="20"/>
              </w:rPr>
            </w:pPr>
            <w:r>
              <w:rPr>
                <w:rFonts w:ascii="Arial" w:hAnsi="Arial" w:cs="Arial"/>
                <w:sz w:val="20"/>
                <w:szCs w:val="20"/>
              </w:rPr>
              <w:t>Oberteil: Breite 17,5 mm (1Module)</w:t>
            </w:r>
            <w:r>
              <w:rPr>
                <w:rFonts w:ascii="Arial" w:hAnsi="Arial" w:cs="Arial"/>
                <w:sz w:val="20"/>
                <w:szCs w:val="20"/>
              </w:rPr>
              <w:br/>
              <w:t>              Vertiefungsabmessung 12,2 x 60,0mm</w:t>
            </w:r>
          </w:p>
        </w:tc>
      </w:tr>
      <w:tr>
        <w:trPr>
          <w:trHeight w:val="470"/>
        </w:trPr>
        <w:tc>
          <w:tcPr>
            <w:tcW w:w="1978" w:type="dxa"/>
            <w:hideMark/>
          </w:tcPr>
          <w:p>
            <w:pPr>
              <w:pStyle w:val="bodytext"/>
              <w:rPr>
                <w:rFonts w:ascii="Arial" w:hAnsi="Arial" w:cs="Arial"/>
                <w:b/>
                <w:bCs/>
                <w:sz w:val="20"/>
                <w:szCs w:val="20"/>
              </w:rPr>
            </w:pPr>
            <w:r>
              <w:rPr>
                <w:rFonts w:ascii="Arial" w:hAnsi="Arial" w:cs="Arial"/>
                <w:b/>
                <w:bCs/>
                <w:sz w:val="20"/>
                <w:szCs w:val="20"/>
              </w:rPr>
              <w:t>Modifikationen:</w:t>
            </w:r>
          </w:p>
        </w:tc>
        <w:tc>
          <w:tcPr>
            <w:tcW w:w="6953" w:type="dxa"/>
            <w:hideMark/>
          </w:tcPr>
          <w:p>
            <w:pPr>
              <w:pStyle w:val="bodytext"/>
              <w:rPr>
                <w:rFonts w:ascii="Arial" w:hAnsi="Arial" w:cs="Arial"/>
                <w:sz w:val="20"/>
                <w:szCs w:val="20"/>
              </w:rPr>
            </w:pPr>
            <w:r>
              <w:rPr>
                <w:rFonts w:ascii="Arial" w:hAnsi="Arial" w:cs="Arial"/>
                <w:sz w:val="20"/>
                <w:szCs w:val="20"/>
              </w:rPr>
              <w:t>passende</w:t>
            </w:r>
            <w:hyperlink r:id="rId11" w:tooltip="Öffnet internen Link im aktuellen Fenster" w:history="1">
              <w:r>
                <w:rPr>
                  <w:rStyle w:val="Hyperlink"/>
                  <w:b w:val="0"/>
                  <w:bCs w:val="0"/>
                  <w:color w:val="auto"/>
                </w:rPr>
                <w:t xml:space="preserve"> Folientastaturen</w:t>
              </w:r>
            </w:hyperlink>
            <w:r>
              <w:rPr>
                <w:rFonts w:ascii="Arial" w:hAnsi="Arial" w:cs="Arial"/>
                <w:b/>
                <w:bCs/>
                <w:sz w:val="20"/>
                <w:szCs w:val="20"/>
              </w:rPr>
              <w:t xml:space="preserve">, </w:t>
            </w:r>
            <w:hyperlink r:id="rId12" w:tooltip="Öffnet internen Link im aktuellen Fenster" w:history="1">
              <w:r>
                <w:rPr>
                  <w:rStyle w:val="Hyperlink"/>
                  <w:b w:val="0"/>
                  <w:bCs w:val="0"/>
                  <w:color w:val="auto"/>
                </w:rPr>
                <w:t>mechanische Bearbeitung</w:t>
              </w:r>
            </w:hyperlink>
            <w:r>
              <w:rPr>
                <w:rFonts w:ascii="Arial" w:hAnsi="Arial" w:cs="Arial"/>
                <w:b/>
                <w:bCs/>
                <w:sz w:val="20"/>
                <w:szCs w:val="20"/>
              </w:rPr>
              <w:t xml:space="preserve">, </w:t>
            </w:r>
            <w:hyperlink r:id="rId13" w:tgtFrame="_blank" w:tooltip="Öffnet externen Link in neuem Fenster" w:history="1">
              <w:r>
                <w:rPr>
                  <w:rStyle w:val="Hyperlink"/>
                  <w:b w:val="0"/>
                  <w:bCs w:val="0"/>
                  <w:color w:val="auto"/>
                </w:rPr>
                <w:t>Eingabesysteme</w:t>
              </w:r>
            </w:hyperlink>
            <w:r>
              <w:rPr>
                <w:rFonts w:ascii="Arial" w:hAnsi="Arial" w:cs="Arial"/>
                <w:b/>
                <w:bCs/>
                <w:sz w:val="20"/>
                <w:szCs w:val="20"/>
              </w:rPr>
              <w:t xml:space="preserve">, </w:t>
            </w:r>
            <w:hyperlink r:id="rId14" w:tooltip="Öffnet internen Link im aktuellen Fenster" w:history="1">
              <w:r>
                <w:rPr>
                  <w:rStyle w:val="Hyperlink"/>
                  <w:b w:val="0"/>
                  <w:bCs w:val="0"/>
                  <w:color w:val="auto"/>
                </w:rPr>
                <w:t>Oberflächenveredelung</w:t>
              </w:r>
            </w:hyperlink>
            <w:r>
              <w:rPr>
                <w:rFonts w:ascii="Arial" w:hAnsi="Arial" w:cs="Arial"/>
                <w:sz w:val="20"/>
                <w:szCs w:val="20"/>
              </w:rPr>
              <w:t xml:space="preserve"> (EMV, ESD, MED, ...) uvm. sind jederzeit möglich</w:t>
            </w:r>
          </w:p>
        </w:tc>
      </w:tr>
      <w:tr>
        <w:trPr>
          <w:trHeight w:val="464"/>
        </w:trPr>
        <w:tc>
          <w:tcPr>
            <w:tcW w:w="1978" w:type="dxa"/>
            <w:hideMark/>
          </w:tcPr>
          <w:p>
            <w:pPr>
              <w:pStyle w:val="bodytext"/>
              <w:rPr>
                <w:rFonts w:ascii="Arial" w:hAnsi="Arial" w:cs="Arial"/>
                <w:b/>
                <w:bCs/>
                <w:sz w:val="20"/>
                <w:szCs w:val="20"/>
              </w:rPr>
            </w:pPr>
            <w:r>
              <w:rPr>
                <w:rFonts w:ascii="Arial" w:hAnsi="Arial" w:cs="Arial"/>
                <w:b/>
                <w:bCs/>
                <w:sz w:val="20"/>
                <w:szCs w:val="20"/>
              </w:rPr>
              <w:t>Besonderheit:</w:t>
            </w:r>
          </w:p>
        </w:tc>
        <w:tc>
          <w:tcPr>
            <w:tcW w:w="6953" w:type="dxa"/>
            <w:hideMark/>
          </w:tcPr>
          <w:p>
            <w:pPr>
              <w:rPr>
                <w:rFonts w:ascii="Arial" w:hAnsi="Arial" w:cs="Arial"/>
                <w:sz w:val="20"/>
                <w:szCs w:val="20"/>
              </w:rPr>
            </w:pPr>
            <w:r>
              <w:rPr>
                <w:rFonts w:ascii="Arial" w:hAnsi="Arial" w:cs="Arial"/>
                <w:sz w:val="20"/>
                <w:szCs w:val="20"/>
              </w:rPr>
              <w:t>Unterteil: Klemmen bis zu 6 feste oder 2x3 steckbar</w:t>
            </w:r>
          </w:p>
        </w:tc>
      </w:tr>
    </w:tbl>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rPr>
        <w:t>Weitere Informationen finden Sie unter:</w:t>
      </w:r>
    </w:p>
    <w:p>
      <w:pPr>
        <w:spacing w:after="0"/>
        <w:jc w:val="both"/>
        <w:rPr>
          <w:rFonts w:ascii="Arial" w:hAnsi="Arial" w:cs="Arial"/>
          <w:b/>
          <w:bCs/>
          <w:color w:val="009DA2"/>
        </w:rPr>
      </w:pPr>
      <w:r>
        <w:rPr>
          <w:rFonts w:ascii="Arial" w:hAnsi="Arial" w:cs="Arial"/>
          <w:b/>
          <w:bCs/>
          <w:color w:val="009DA2"/>
        </w:rPr>
        <w:t>https://www.industriegehaeuse.de/kunststoff-gehaeuse/modulgehaeuse/serie-m1-low/</w:t>
      </w:r>
    </w:p>
    <w:p>
      <w:pPr>
        <w:spacing w:after="0" w:line="360" w:lineRule="auto"/>
        <w:contextualSpacing/>
        <w:jc w:val="both"/>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15"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pP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color w:val="009DA2"/>
          <w:spacing w:val="1"/>
          <w:sz w:val="18"/>
          <w:szCs w:val="16"/>
        </w:rPr>
      </w:pPr>
      <w:r>
        <w:rPr>
          <w:rFonts w:ascii="Arial" w:hAnsi="Arial" w:cs="Arial"/>
          <w:spacing w:val="1"/>
          <w:sz w:val="18"/>
          <w:szCs w:val="16"/>
        </w:rPr>
        <w:t xml:space="preserve">Tel. (+49) 7081 95 40 - 0, Fax (+49) 7081 95 40 - 90, E-Mail: </w:t>
      </w:r>
      <w:hyperlink r:id="rId16" w:history="1">
        <w:r>
          <w:rPr>
            <w:rStyle w:val="Hyperlink"/>
            <w:color w:val="009DA2"/>
            <w:spacing w:val="1"/>
            <w:sz w:val="18"/>
            <w:szCs w:val="16"/>
          </w:rPr>
          <w:t>Marketing@WoehrGmbH.de</w:t>
        </w:r>
      </w:hyperlink>
    </w:p>
    <w:sectPr>
      <w:headerReference w:type="default" r:id="rId17"/>
      <w:pgSz w:w="11906" w:h="16838"/>
      <w:pgMar w:top="2694" w:right="1558"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334600848">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ehrgmbh.de/de/produkte/eingabesyst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ustriegehaeuse.de/unternehmen/bearbeitu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keting@WoehrGmbH.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ustriegehaeuse.de/unternehmen/standardtastaturen/" TargetMode="External"/><Relationship Id="rId5" Type="http://schemas.openxmlformats.org/officeDocument/2006/relationships/webSettings" Target="webSettings.xml"/><Relationship Id="rId15" Type="http://schemas.openxmlformats.org/officeDocument/2006/relationships/hyperlink" Target="http://www.WoehrGmbH.de/de/aktuelles-presse/pressecenter/"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dustriegehaeuse.de/unternehmen/oberflae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7</cp:revision>
  <cp:lastPrinted>2021-09-13T08:44:00Z</cp:lastPrinted>
  <dcterms:created xsi:type="dcterms:W3CDTF">2021-07-05T11:39:00Z</dcterms:created>
  <dcterms:modified xsi:type="dcterms:W3CDTF">2021-09-13T08:53:00Z</dcterms:modified>
</cp:coreProperties>
</file>