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EinfacherAbsatz"/>
        <w:rPr>
          <w:rFonts w:ascii="Arial" w:hAnsi="Arial" w:cs="Arial"/>
          <w:spacing w:val="59"/>
          <w:sz w:val="28"/>
          <w:szCs w:val="28"/>
        </w:rPr>
      </w:pPr>
    </w:p>
    <w:p>
      <w:pPr>
        <w:pStyle w:val="EinfacherAbsatz"/>
        <w:rPr>
          <w:rFonts w:ascii="Arial" w:hAnsi="Arial" w:cs="Arial"/>
          <w:b/>
          <w:spacing w:val="1"/>
          <w:sz w:val="28"/>
          <w:szCs w:val="28"/>
        </w:rPr>
      </w:pPr>
      <w:r>
        <w:rPr>
          <w:rFonts w:ascii="Arial" w:hAnsi="Arial" w:cs="Arial"/>
          <w:b/>
          <w:spacing w:val="59"/>
          <w:sz w:val="28"/>
          <w:szCs w:val="28"/>
        </w:rPr>
        <w:t>PRESSEMELDUNG</w:t>
      </w:r>
      <w:r>
        <w:rPr>
          <w:rFonts w:ascii="Arial" w:hAnsi="Arial" w:cs="Arial"/>
          <w:b/>
          <w:spacing w:val="1"/>
          <w:sz w:val="28"/>
          <w:szCs w:val="28"/>
        </w:rPr>
        <w:t xml:space="preserve">  |   28.10.2021</w:t>
      </w:r>
    </w:p>
    <w:p>
      <w:pPr>
        <w:spacing w:after="0" w:line="240" w:lineRule="auto"/>
        <w:contextualSpacing/>
        <w:rPr>
          <w:rFonts w:ascii="StalemateLight" w:hAnsi="StalemateLight"/>
          <w:sz w:val="28"/>
          <w:szCs w:val="28"/>
        </w:rPr>
      </w:pPr>
    </w:p>
    <w:p>
      <w:pPr>
        <w:pStyle w:val="berschrift1"/>
        <w:spacing w:line="276" w:lineRule="auto"/>
        <w:rPr>
          <w:rFonts w:ascii="Arial" w:hAnsi="Arial" w:cs="Arial"/>
          <w:sz w:val="28"/>
          <w:szCs w:val="28"/>
        </w:rPr>
      </w:pPr>
      <w:r>
        <w:rPr>
          <w:rFonts w:ascii="Arial" w:hAnsi="Arial" w:cs="Arial"/>
          <w:sz w:val="28"/>
          <w:szCs w:val="28"/>
        </w:rPr>
        <w:t>19-Zoll Gehäuse von WÖHR</w:t>
      </w:r>
    </w:p>
    <w:p>
      <w:pPr>
        <w:pStyle w:val="berschrift1"/>
        <w:spacing w:line="276" w:lineRule="auto"/>
        <w:ind w:right="1517"/>
        <w:rPr>
          <w:rFonts w:ascii="Arial" w:hAnsi="Arial" w:cs="Arial"/>
          <w:sz w:val="22"/>
          <w:szCs w:val="22"/>
        </w:rPr>
      </w:pPr>
      <w:r>
        <w:rPr>
          <w:rFonts w:ascii="Arial" w:hAnsi="Arial" w:cs="Arial"/>
          <w:noProof/>
        </w:rPr>
        <w:drawing>
          <wp:anchor distT="0" distB="0" distL="114300" distR="114300" simplePos="0" relativeHeight="251654144" behindDoc="1" locked="0" layoutInCell="1" allowOverlap="1">
            <wp:simplePos x="0" y="0"/>
            <wp:positionH relativeFrom="column">
              <wp:posOffset>-159905</wp:posOffset>
            </wp:positionH>
            <wp:positionV relativeFrom="paragraph">
              <wp:posOffset>384347</wp:posOffset>
            </wp:positionV>
            <wp:extent cx="5036024" cy="335431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6524" cy="33613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Die mobile Gehäusesystemserie ALUNO wird erweitert, in Form von </w:t>
      </w:r>
      <w:r>
        <w:rPr>
          <w:rFonts w:ascii="Arial" w:hAnsi="Arial" w:cs="Arial"/>
          <w:sz w:val="22"/>
          <w:szCs w:val="22"/>
        </w:rPr>
        <w:br/>
        <w:t>19“-Aufbausystemen oder auch Baugruppenträgern</w:t>
      </w:r>
    </w:p>
    <w:p>
      <w:pPr>
        <w:spacing w:after="0" w:line="360" w:lineRule="auto"/>
        <w:ind w:right="1376"/>
        <w:contextualSpacing/>
        <w:jc w:val="both"/>
        <w:rPr>
          <w:rFonts w:ascii="Arial" w:eastAsia="Times New Roman" w:hAnsi="Arial" w:cs="Arial"/>
          <w:lang w:eastAsia="de-DE"/>
        </w:rPr>
      </w:pPr>
      <w:r>
        <w:rPr>
          <w:rFonts w:ascii="Arial" w:eastAsia="Times New Roman" w:hAnsi="Arial" w:cs="Arial"/>
          <w:lang w:eastAsia="de-DE"/>
        </w:rPr>
        <w:t xml:space="preserve">Die Richard Wöhr GmbH mit Sitz im Nordschwarzwald baut ihr Produktprogramm immer weiter aus und stellt nun die Serie ALUNO W-4000 ein 19“-Gehäuse vor. </w:t>
      </w: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rPr>
      </w:pPr>
    </w:p>
    <w:p>
      <w:pPr>
        <w:spacing w:after="0" w:line="360" w:lineRule="auto"/>
        <w:contextualSpacing/>
        <w:jc w:val="both"/>
        <w:rPr>
          <w:rFonts w:ascii="Arial" w:hAnsi="Arial" w:cs="Arial"/>
          <w:b/>
          <w:bCs/>
        </w:rPr>
      </w:pPr>
      <w:r>
        <w:rPr>
          <w:rFonts w:ascii="Arial" w:hAnsi="Arial" w:cs="Arial"/>
          <w:b/>
          <w:bCs/>
        </w:rPr>
        <w:t>Vielseitig ausbaubar!</w:t>
      </w:r>
    </w:p>
    <w:p>
      <w:pPr>
        <w:spacing w:after="0" w:line="360" w:lineRule="auto"/>
        <w:contextualSpacing/>
        <w:jc w:val="both"/>
        <w:rPr>
          <w:rFonts w:ascii="Arial" w:hAnsi="Arial" w:cs="Arial"/>
        </w:rPr>
      </w:pPr>
      <w:r>
        <w:rPr>
          <w:rFonts w:ascii="Arial" w:hAnsi="Arial" w:cs="Arial"/>
        </w:rPr>
        <w:t>Die 19“-Gehäuseserie überzeugt durch ihr zeitloses Design, ihr stabiles Konstruktionsprinzip und ist servicefreundlich. Ein stabiler und eloxierter Alu-Holprofilrahmen ist die Basis der neuen ALUNO Serie, Seitenwände sind aus Aluminium- bzw. Kunststoff-Verbundplatten. Die Gehäusesystemserie bietet eine große Auswahl an Zubehöroptionen wie Beispielsweise eine Serviceklappe, abschließbare Versionen, Transport- oder Tragegriffe, optional abnehmbare Deckel (front- und/oder rückseitig) uvm. individuelle farbliche Ausführung an. Mögliche Anwendungsbereiche für die ALUNO W-4000 Serie ist die Mess- und Regeltechnik, oder der Telekommunikationsbereich. Kundenspezifische Lösungen wurden schon als Tischgehäuse, Einschub- oder Einbaugehäuse sowie Gehäuse zur Aufnahme von 19-Zoll-Baugruppenträgern realisiert.</w:t>
      </w:r>
    </w:p>
    <w:p>
      <w:pPr>
        <w:spacing w:after="0" w:line="360" w:lineRule="auto"/>
        <w:jc w:val="both"/>
        <w:rPr>
          <w:rFonts w:ascii="Arial" w:hAnsi="Arial" w:cs="Arial"/>
        </w:rPr>
      </w:pPr>
    </w:p>
    <w:p>
      <w:pPr>
        <w:spacing w:after="0" w:line="360" w:lineRule="auto"/>
        <w:jc w:val="both"/>
        <w:rPr>
          <w:rFonts w:ascii="Arial" w:hAnsi="Arial" w:cs="Arial"/>
        </w:rPr>
      </w:pPr>
      <w:r>
        <w:rPr>
          <w:rFonts w:ascii="Arial" w:hAnsi="Arial" w:cs="Arial"/>
        </w:rPr>
        <w:t>Ihr bestelltes 19“-Gehäuse von WÖHR wird auf Wunsch montiert geliefert!</w:t>
      </w:r>
    </w:p>
    <w:p>
      <w:pPr>
        <w:spacing w:after="0" w:line="360" w:lineRule="auto"/>
        <w:jc w:val="both"/>
        <w:rPr>
          <w:rFonts w:ascii="Arial" w:hAnsi="Arial" w:cs="Arial"/>
        </w:rPr>
      </w:pPr>
    </w:p>
    <w:p>
      <w:pPr>
        <w:spacing w:after="0" w:line="360" w:lineRule="auto"/>
        <w:jc w:val="both"/>
        <w:rPr>
          <w:rFonts w:ascii="Arial" w:hAnsi="Arial" w:cs="Arial"/>
        </w:rPr>
      </w:pPr>
      <w:r>
        <w:rPr>
          <w:rFonts w:ascii="Arial" w:hAnsi="Arial" w:cs="Arial"/>
        </w:rPr>
        <w:t>Kundenspezifische Ausführungen in mm und Zoll sind ab 5 Stück möglich.</w:t>
      </w:r>
    </w:p>
    <w:p>
      <w:pPr>
        <w:spacing w:after="0" w:line="360" w:lineRule="auto"/>
        <w:jc w:val="both"/>
        <w:rPr>
          <w:rFonts w:ascii="Arial" w:hAnsi="Arial" w:cs="Arial"/>
        </w:rPr>
      </w:pPr>
      <w:r>
        <w:rPr>
          <w:rFonts w:ascii="Arial" w:hAnsi="Arial" w:cs="Arial"/>
        </w:rPr>
        <w:t>Prototypen bzw kleinere Mengen auf Anfrage.</w:t>
      </w:r>
    </w:p>
    <w:p>
      <w:pPr>
        <w:spacing w:after="0" w:line="240" w:lineRule="auto"/>
        <w:rPr>
          <w:rFonts w:ascii="Arial" w:hAnsi="Arial" w:cs="Arial"/>
        </w:rPr>
      </w:pPr>
      <w:r>
        <w:rPr>
          <w:rFonts w:ascii="Arial" w:hAnsi="Arial" w:cs="Arial"/>
        </w:rPr>
        <w:br w:type="page"/>
      </w:r>
    </w:p>
    <w:p>
      <w:pPr>
        <w:spacing w:after="0" w:line="360" w:lineRule="auto"/>
        <w:jc w:val="both"/>
        <w:rPr>
          <w:rFonts w:ascii="Arial" w:hAnsi="Arial" w:cs="Arial"/>
          <w:b/>
          <w:bCs/>
        </w:rPr>
      </w:pPr>
      <w:r>
        <w:rPr>
          <w:rFonts w:ascii="Arial" w:hAnsi="Arial" w:cs="Arial"/>
          <w:b/>
          <w:bCs/>
        </w:rPr>
        <w:lastRenderedPageBreak/>
        <w:t>Technische Details:</w:t>
      </w:r>
    </w:p>
    <w:p>
      <w:pPr>
        <w:pStyle w:val="Listenabsatz"/>
        <w:numPr>
          <w:ilvl w:val="0"/>
          <w:numId w:val="4"/>
        </w:numPr>
        <w:spacing w:after="0" w:line="360" w:lineRule="auto"/>
        <w:jc w:val="both"/>
        <w:rPr>
          <w:rFonts w:ascii="Arial" w:hAnsi="Arial" w:cs="Arial"/>
        </w:rPr>
      </w:pPr>
      <w:r>
        <w:rPr>
          <w:rFonts w:ascii="Arial" w:hAnsi="Arial" w:cs="Arial"/>
        </w:rPr>
        <w:t>3, 4 und 6 HE</w:t>
      </w:r>
    </w:p>
    <w:p>
      <w:pPr>
        <w:pStyle w:val="Listenabsatz"/>
        <w:numPr>
          <w:ilvl w:val="0"/>
          <w:numId w:val="4"/>
        </w:numPr>
        <w:spacing w:after="0" w:line="360" w:lineRule="auto"/>
        <w:jc w:val="both"/>
        <w:rPr>
          <w:rFonts w:ascii="Arial" w:hAnsi="Arial" w:cs="Arial"/>
        </w:rPr>
      </w:pPr>
      <w:r>
        <w:rPr>
          <w:rFonts w:ascii="Arial" w:hAnsi="Arial" w:cs="Arial"/>
        </w:rPr>
        <w:t>Profile sind aus Aluminium (natur-eloxiert)</w:t>
      </w:r>
    </w:p>
    <w:p>
      <w:pPr>
        <w:pStyle w:val="Listenabsatz"/>
        <w:numPr>
          <w:ilvl w:val="0"/>
          <w:numId w:val="4"/>
        </w:numPr>
        <w:spacing w:after="0" w:line="360" w:lineRule="auto"/>
        <w:jc w:val="both"/>
        <w:rPr>
          <w:rFonts w:ascii="Arial" w:hAnsi="Arial" w:cs="Arial"/>
        </w:rPr>
      </w:pPr>
      <w:r>
        <w:rPr>
          <w:rFonts w:ascii="Arial" w:hAnsi="Arial" w:cs="Arial"/>
        </w:rPr>
        <w:t>Platten/Seitenwände sind aus Aluminium-Kunststoff-Verbund</w:t>
      </w:r>
    </w:p>
    <w:p>
      <w:pPr>
        <w:pStyle w:val="Listenabsatz"/>
        <w:numPr>
          <w:ilvl w:val="0"/>
          <w:numId w:val="4"/>
        </w:numPr>
        <w:spacing w:after="0" w:line="360" w:lineRule="auto"/>
        <w:jc w:val="both"/>
        <w:rPr>
          <w:rFonts w:ascii="Arial" w:hAnsi="Arial" w:cs="Arial"/>
        </w:rPr>
      </w:pPr>
      <w:r>
        <w:rPr>
          <w:noProof/>
        </w:rPr>
        <w:drawing>
          <wp:anchor distT="0" distB="0" distL="114300" distR="114300" simplePos="0" relativeHeight="251664384" behindDoc="1" locked="0" layoutInCell="1" allowOverlap="1">
            <wp:simplePos x="0" y="0"/>
            <wp:positionH relativeFrom="column">
              <wp:posOffset>-543930</wp:posOffset>
            </wp:positionH>
            <wp:positionV relativeFrom="paragraph">
              <wp:posOffset>158087</wp:posOffset>
            </wp:positionV>
            <wp:extent cx="2372299" cy="1718649"/>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72299" cy="171864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Standard Gehäusegrößen:</w:t>
      </w:r>
    </w:p>
    <w:tbl>
      <w:tblPr>
        <w:tblW w:w="6224" w:type="dxa"/>
        <w:tblInd w:w="3189" w:type="dxa"/>
        <w:tblCellMar>
          <w:left w:w="70" w:type="dxa"/>
          <w:right w:w="70" w:type="dxa"/>
        </w:tblCellMar>
        <w:tblLook w:val="04A0" w:firstRow="1" w:lastRow="0" w:firstColumn="1" w:lastColumn="0" w:noHBand="0" w:noVBand="1"/>
      </w:tblPr>
      <w:tblGrid>
        <w:gridCol w:w="709"/>
        <w:gridCol w:w="2268"/>
        <w:gridCol w:w="160"/>
        <w:gridCol w:w="1667"/>
        <w:gridCol w:w="1420"/>
      </w:tblGrid>
      <w:tr>
        <w:trPr>
          <w:trHeight w:val="300"/>
        </w:trPr>
        <w:tc>
          <w:tcPr>
            <w:tcW w:w="709" w:type="dxa"/>
            <w:tcBorders>
              <w:top w:val="nil"/>
              <w:left w:val="nil"/>
              <w:bottom w:val="nil"/>
              <w:right w:val="nil"/>
            </w:tcBorders>
            <w:shd w:val="clear" w:color="auto" w:fill="009DA2"/>
            <w:noWrap/>
            <w:vAlign w:val="bottom"/>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009DA2"/>
            <w:noWrap/>
            <w:vAlign w:val="bottom"/>
            <w:hideMark/>
          </w:tcPr>
          <w:p>
            <w:pPr>
              <w:spacing w:after="0" w:line="240" w:lineRule="auto"/>
              <w:rPr>
                <w:rFonts w:eastAsia="Times New Roman" w:cs="Calibri"/>
                <w:b/>
                <w:bCs/>
                <w:lang w:eastAsia="de-DE"/>
              </w:rPr>
            </w:pPr>
            <w:r>
              <w:rPr>
                <w:rFonts w:eastAsia="Times New Roman" w:cs="Calibri"/>
                <w:b/>
                <w:bCs/>
                <w:lang w:eastAsia="de-DE"/>
              </w:rPr>
              <w:t xml:space="preserve">        Artikelnummer:</w:t>
            </w:r>
          </w:p>
        </w:tc>
        <w:tc>
          <w:tcPr>
            <w:tcW w:w="160" w:type="dxa"/>
            <w:tcBorders>
              <w:top w:val="nil"/>
              <w:left w:val="nil"/>
              <w:bottom w:val="nil"/>
              <w:right w:val="nil"/>
            </w:tcBorders>
            <w:shd w:val="clear" w:color="auto" w:fill="009DA2"/>
            <w:noWrap/>
            <w:vAlign w:val="bottom"/>
            <w:hideMark/>
          </w:tcPr>
          <w:p>
            <w:pPr>
              <w:spacing w:after="0" w:line="240" w:lineRule="auto"/>
              <w:rPr>
                <w:rFonts w:eastAsia="Times New Roman" w:cs="Calibri"/>
                <w:b/>
                <w:bCs/>
                <w:lang w:eastAsia="de-DE"/>
              </w:rPr>
            </w:pPr>
          </w:p>
        </w:tc>
        <w:tc>
          <w:tcPr>
            <w:tcW w:w="1667" w:type="dxa"/>
            <w:tcBorders>
              <w:top w:val="nil"/>
              <w:left w:val="nil"/>
              <w:bottom w:val="nil"/>
              <w:right w:val="nil"/>
            </w:tcBorders>
            <w:shd w:val="clear" w:color="auto" w:fill="009DA2"/>
            <w:noWrap/>
            <w:vAlign w:val="bottom"/>
            <w:hideMark/>
          </w:tcPr>
          <w:p>
            <w:pPr>
              <w:spacing w:after="0" w:line="240" w:lineRule="auto"/>
              <w:jc w:val="center"/>
              <w:rPr>
                <w:rFonts w:eastAsia="Times New Roman" w:cs="Calibri"/>
                <w:b/>
                <w:bCs/>
                <w:lang w:eastAsia="de-DE"/>
              </w:rPr>
            </w:pPr>
            <w:r>
              <w:rPr>
                <w:rFonts w:eastAsia="Times New Roman" w:cs="Calibri"/>
                <w:b/>
                <w:bCs/>
                <w:lang w:eastAsia="de-DE"/>
              </w:rPr>
              <w:t>Maße X x Y x Z:</w:t>
            </w:r>
          </w:p>
        </w:tc>
        <w:tc>
          <w:tcPr>
            <w:tcW w:w="1420" w:type="dxa"/>
            <w:tcBorders>
              <w:top w:val="nil"/>
              <w:left w:val="nil"/>
              <w:bottom w:val="nil"/>
              <w:right w:val="nil"/>
            </w:tcBorders>
            <w:shd w:val="clear" w:color="auto" w:fill="009DA2"/>
            <w:noWrap/>
            <w:vAlign w:val="bottom"/>
            <w:hideMark/>
          </w:tcPr>
          <w:p>
            <w:pPr>
              <w:spacing w:after="0" w:line="240" w:lineRule="auto"/>
              <w:jc w:val="center"/>
              <w:rPr>
                <w:rFonts w:eastAsia="Times New Roman" w:cs="Calibri"/>
                <w:b/>
                <w:bCs/>
                <w:lang w:eastAsia="de-DE"/>
              </w:rPr>
            </w:pPr>
            <w:r>
              <w:rPr>
                <w:rFonts w:eastAsia="Times New Roman" w:cs="Calibri"/>
                <w:b/>
                <w:bCs/>
                <w:lang w:eastAsia="de-DE"/>
              </w:rPr>
              <w:t>Z1/Z2/Z3:</w:t>
            </w:r>
          </w:p>
        </w:tc>
      </w:tr>
      <w:tr>
        <w:trPr>
          <w:trHeight w:val="300"/>
        </w:trPr>
        <w:tc>
          <w:tcPr>
            <w:tcW w:w="709" w:type="dxa"/>
            <w:vMerge w:val="restart"/>
            <w:tcBorders>
              <w:top w:val="nil"/>
              <w:left w:val="nil"/>
              <w:bottom w:val="nil"/>
              <w:right w:val="nil"/>
            </w:tcBorders>
            <w:shd w:val="clear" w:color="auto" w:fill="auto"/>
            <w:noWrap/>
            <w:hideMark/>
          </w:tcPr>
          <w:p>
            <w:pPr>
              <w:spacing w:after="0" w:line="240" w:lineRule="auto"/>
              <w:jc w:val="center"/>
              <w:rPr>
                <w:rFonts w:eastAsia="Times New Roman" w:cs="Calibri"/>
                <w:lang w:eastAsia="de-DE"/>
              </w:rPr>
            </w:pPr>
            <w:r>
              <w:rPr>
                <w:rFonts w:eastAsia="Times New Roman" w:cs="Calibri"/>
                <w:lang w:eastAsia="de-DE"/>
              </w:rPr>
              <w:t>3 HE</w:t>
            </w: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W13116-103A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483,5x133,5x235</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30/175/30</w:t>
            </w:r>
          </w:p>
        </w:tc>
      </w:tr>
      <w:tr>
        <w:trPr>
          <w:trHeight w:val="300"/>
        </w:trPr>
        <w:tc>
          <w:tcPr>
            <w:tcW w:w="709" w:type="dxa"/>
            <w:vMerge/>
            <w:tcBorders>
              <w:top w:val="nil"/>
              <w:left w:val="nil"/>
              <w:bottom w:val="nil"/>
              <w:right w:val="nil"/>
            </w:tcBorders>
            <w:vAlign w:val="center"/>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W13116-106A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483,5x133,5x295</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30/235/30</w:t>
            </w:r>
          </w:p>
        </w:tc>
      </w:tr>
      <w:tr>
        <w:trPr>
          <w:trHeight w:val="300"/>
        </w:trPr>
        <w:tc>
          <w:tcPr>
            <w:tcW w:w="709" w:type="dxa"/>
            <w:vMerge/>
            <w:tcBorders>
              <w:top w:val="nil"/>
              <w:left w:val="nil"/>
              <w:bottom w:val="nil"/>
              <w:right w:val="nil"/>
            </w:tcBorders>
            <w:vAlign w:val="center"/>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W13116-109A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483,5x133,5x340</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30/280/30</w:t>
            </w:r>
          </w:p>
        </w:tc>
      </w:tr>
      <w:tr>
        <w:trPr>
          <w:trHeight w:val="300"/>
        </w:trPr>
        <w:tc>
          <w:tcPr>
            <w:tcW w:w="709" w:type="dxa"/>
            <w:vMerge/>
            <w:tcBorders>
              <w:top w:val="nil"/>
              <w:left w:val="nil"/>
              <w:bottom w:val="nil"/>
              <w:right w:val="nil"/>
            </w:tcBorders>
            <w:vAlign w:val="center"/>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W13116-112A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483,5x133,5x580</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30/520/30</w:t>
            </w:r>
          </w:p>
        </w:tc>
      </w:tr>
      <w:tr>
        <w:trPr>
          <w:trHeight w:val="300"/>
        </w:trPr>
        <w:tc>
          <w:tcPr>
            <w:tcW w:w="709" w:type="dxa"/>
            <w:tcBorders>
              <w:top w:val="nil"/>
              <w:left w:val="nil"/>
              <w:bottom w:val="nil"/>
              <w:right w:val="nil"/>
            </w:tcBorders>
            <w:shd w:val="clear" w:color="auto" w:fill="auto"/>
            <w:noWrap/>
            <w:hideMark/>
          </w:tcPr>
          <w:p>
            <w:pPr>
              <w:spacing w:after="0" w:line="240" w:lineRule="auto"/>
              <w:jc w:val="center"/>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sz w:val="20"/>
                <w:szCs w:val="20"/>
                <w:lang w:eastAsia="de-DE"/>
              </w:rPr>
            </w:pPr>
          </w:p>
        </w:tc>
        <w:tc>
          <w:tcPr>
            <w:tcW w:w="16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sz w:val="20"/>
                <w:szCs w:val="20"/>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sz w:val="20"/>
                <w:szCs w:val="20"/>
                <w:lang w:eastAsia="de-DE"/>
              </w:rPr>
            </w:pPr>
          </w:p>
        </w:tc>
        <w:tc>
          <w:tcPr>
            <w:tcW w:w="142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sz w:val="20"/>
                <w:szCs w:val="20"/>
                <w:lang w:eastAsia="de-DE"/>
              </w:rPr>
            </w:pPr>
          </w:p>
        </w:tc>
      </w:tr>
      <w:tr>
        <w:trPr>
          <w:trHeight w:val="300"/>
        </w:trPr>
        <w:tc>
          <w:tcPr>
            <w:tcW w:w="709" w:type="dxa"/>
            <w:vMerge w:val="restart"/>
            <w:tcBorders>
              <w:top w:val="nil"/>
              <w:left w:val="nil"/>
              <w:bottom w:val="nil"/>
              <w:right w:val="nil"/>
            </w:tcBorders>
            <w:shd w:val="clear" w:color="auto" w:fill="auto"/>
            <w:noWrap/>
            <w:hideMark/>
          </w:tcPr>
          <w:p>
            <w:pPr>
              <w:spacing w:after="0" w:line="240" w:lineRule="auto"/>
              <w:jc w:val="center"/>
              <w:rPr>
                <w:rFonts w:eastAsia="Times New Roman" w:cs="Calibri"/>
                <w:lang w:eastAsia="de-DE"/>
              </w:rPr>
            </w:pPr>
            <w:r>
              <w:rPr>
                <w:rFonts w:eastAsia="Times New Roman" w:cs="Calibri"/>
                <w:lang w:eastAsia="de-DE"/>
              </w:rPr>
              <w:t>4 HE</w:t>
            </w: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W13116-104A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483,5x178x235</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30/175/30</w:t>
            </w:r>
          </w:p>
        </w:tc>
      </w:tr>
      <w:tr>
        <w:trPr>
          <w:trHeight w:val="300"/>
        </w:trPr>
        <w:tc>
          <w:tcPr>
            <w:tcW w:w="709" w:type="dxa"/>
            <w:vMerge/>
            <w:tcBorders>
              <w:top w:val="nil"/>
              <w:left w:val="nil"/>
              <w:bottom w:val="nil"/>
              <w:right w:val="nil"/>
            </w:tcBorders>
            <w:vAlign w:val="center"/>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W13116-107A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483,5x178x295</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30/235/30</w:t>
            </w:r>
          </w:p>
        </w:tc>
      </w:tr>
      <w:tr>
        <w:trPr>
          <w:trHeight w:val="300"/>
        </w:trPr>
        <w:tc>
          <w:tcPr>
            <w:tcW w:w="709" w:type="dxa"/>
            <w:vMerge/>
            <w:tcBorders>
              <w:top w:val="nil"/>
              <w:left w:val="nil"/>
              <w:bottom w:val="nil"/>
              <w:right w:val="nil"/>
            </w:tcBorders>
            <w:vAlign w:val="center"/>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W13116-110A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483,5x178x340</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30/280/30</w:t>
            </w:r>
          </w:p>
        </w:tc>
      </w:tr>
      <w:tr>
        <w:trPr>
          <w:trHeight w:val="300"/>
        </w:trPr>
        <w:tc>
          <w:tcPr>
            <w:tcW w:w="709" w:type="dxa"/>
            <w:vMerge/>
            <w:tcBorders>
              <w:top w:val="nil"/>
              <w:left w:val="nil"/>
              <w:bottom w:val="nil"/>
              <w:right w:val="nil"/>
            </w:tcBorders>
            <w:vAlign w:val="center"/>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W13116-113A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483,5x178x580</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30/520/30</w:t>
            </w:r>
          </w:p>
        </w:tc>
      </w:tr>
      <w:tr>
        <w:trPr>
          <w:trHeight w:val="300"/>
        </w:trPr>
        <w:tc>
          <w:tcPr>
            <w:tcW w:w="709" w:type="dxa"/>
            <w:tcBorders>
              <w:top w:val="nil"/>
              <w:left w:val="nil"/>
              <w:bottom w:val="nil"/>
              <w:right w:val="nil"/>
            </w:tcBorders>
            <w:shd w:val="clear" w:color="auto" w:fill="auto"/>
            <w:noWrap/>
            <w:hideMark/>
          </w:tcPr>
          <w:p>
            <w:pPr>
              <w:spacing w:after="0" w:line="240" w:lineRule="auto"/>
              <w:jc w:val="center"/>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sz w:val="20"/>
                <w:szCs w:val="20"/>
                <w:lang w:eastAsia="de-DE"/>
              </w:rPr>
            </w:pPr>
          </w:p>
        </w:tc>
        <w:tc>
          <w:tcPr>
            <w:tcW w:w="16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sz w:val="20"/>
                <w:szCs w:val="20"/>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sz w:val="20"/>
                <w:szCs w:val="20"/>
                <w:lang w:eastAsia="de-DE"/>
              </w:rPr>
            </w:pPr>
          </w:p>
        </w:tc>
        <w:tc>
          <w:tcPr>
            <w:tcW w:w="1420"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sz w:val="20"/>
                <w:szCs w:val="20"/>
                <w:lang w:eastAsia="de-DE"/>
              </w:rPr>
            </w:pPr>
          </w:p>
        </w:tc>
      </w:tr>
      <w:tr>
        <w:trPr>
          <w:trHeight w:val="300"/>
        </w:trPr>
        <w:tc>
          <w:tcPr>
            <w:tcW w:w="709" w:type="dxa"/>
            <w:vMerge w:val="restart"/>
            <w:tcBorders>
              <w:top w:val="nil"/>
              <w:left w:val="nil"/>
              <w:bottom w:val="nil"/>
              <w:right w:val="nil"/>
            </w:tcBorders>
            <w:shd w:val="clear" w:color="auto" w:fill="auto"/>
            <w:noWrap/>
            <w:hideMark/>
          </w:tcPr>
          <w:p>
            <w:pPr>
              <w:spacing w:after="0" w:line="240" w:lineRule="auto"/>
              <w:jc w:val="center"/>
              <w:rPr>
                <w:rFonts w:eastAsia="Times New Roman" w:cs="Calibri"/>
                <w:lang w:eastAsia="de-DE"/>
              </w:rPr>
            </w:pPr>
            <w:r>
              <w:rPr>
                <w:rFonts w:eastAsia="Times New Roman" w:cs="Calibri"/>
                <w:lang w:eastAsia="de-DE"/>
              </w:rPr>
              <w:t>6 HE</w:t>
            </w: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W13116-105A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483,5x267x235</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30/175/30</w:t>
            </w:r>
          </w:p>
        </w:tc>
      </w:tr>
      <w:tr>
        <w:trPr>
          <w:trHeight w:val="300"/>
        </w:trPr>
        <w:tc>
          <w:tcPr>
            <w:tcW w:w="709" w:type="dxa"/>
            <w:vMerge/>
            <w:tcBorders>
              <w:top w:val="nil"/>
              <w:left w:val="nil"/>
              <w:bottom w:val="nil"/>
              <w:right w:val="nil"/>
            </w:tcBorders>
            <w:vAlign w:val="center"/>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W13116-108A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483,5x267x295</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30/235/30</w:t>
            </w:r>
          </w:p>
        </w:tc>
      </w:tr>
      <w:tr>
        <w:trPr>
          <w:trHeight w:val="300"/>
        </w:trPr>
        <w:tc>
          <w:tcPr>
            <w:tcW w:w="709" w:type="dxa"/>
            <w:vMerge/>
            <w:tcBorders>
              <w:top w:val="nil"/>
              <w:left w:val="nil"/>
              <w:bottom w:val="nil"/>
              <w:right w:val="nil"/>
            </w:tcBorders>
            <w:vAlign w:val="center"/>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W13116-111A</w:t>
            </w:r>
          </w:p>
        </w:tc>
        <w:tc>
          <w:tcPr>
            <w:tcW w:w="160" w:type="dxa"/>
            <w:tcBorders>
              <w:top w:val="nil"/>
              <w:left w:val="nil"/>
              <w:bottom w:val="nil"/>
              <w:right w:val="nil"/>
            </w:tcBorders>
            <w:shd w:val="clear" w:color="auto" w:fill="auto"/>
            <w:noWrap/>
            <w:vAlign w:val="bottom"/>
          </w:tcPr>
          <w:p>
            <w:pPr>
              <w:spacing w:after="0" w:line="240" w:lineRule="auto"/>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483,5x267x340</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30/280/30</w:t>
            </w:r>
          </w:p>
        </w:tc>
      </w:tr>
      <w:tr>
        <w:trPr>
          <w:trHeight w:val="300"/>
        </w:trPr>
        <w:tc>
          <w:tcPr>
            <w:tcW w:w="709" w:type="dxa"/>
            <w:vMerge/>
            <w:tcBorders>
              <w:top w:val="nil"/>
              <w:left w:val="nil"/>
              <w:bottom w:val="nil"/>
              <w:right w:val="nil"/>
            </w:tcBorders>
            <w:vAlign w:val="center"/>
            <w:hideMark/>
          </w:tcPr>
          <w:p>
            <w:pPr>
              <w:spacing w:after="0" w:line="240" w:lineRule="auto"/>
              <w:rPr>
                <w:rFonts w:eastAsia="Times New Roman" w:cs="Calibri"/>
                <w:lang w:eastAsia="de-DE"/>
              </w:rPr>
            </w:pPr>
          </w:p>
        </w:tc>
        <w:tc>
          <w:tcPr>
            <w:tcW w:w="2268"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W13116-114A</w:t>
            </w:r>
          </w:p>
        </w:tc>
        <w:tc>
          <w:tcPr>
            <w:tcW w:w="160" w:type="dxa"/>
            <w:tcBorders>
              <w:top w:val="nil"/>
              <w:left w:val="nil"/>
              <w:bottom w:val="nil"/>
              <w:right w:val="nil"/>
            </w:tcBorders>
            <w:shd w:val="clear" w:color="auto" w:fill="auto"/>
            <w:noWrap/>
            <w:vAlign w:val="bottom"/>
          </w:tcPr>
          <w:p>
            <w:pPr>
              <w:spacing w:after="0" w:line="240" w:lineRule="auto"/>
              <w:ind w:left="-125" w:firstLine="125"/>
              <w:jc w:val="center"/>
              <w:rPr>
                <w:rFonts w:eastAsia="Times New Roman" w:cs="Calibri"/>
                <w:lang w:eastAsia="de-DE"/>
              </w:rPr>
            </w:pPr>
          </w:p>
        </w:tc>
        <w:tc>
          <w:tcPr>
            <w:tcW w:w="1667"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483,5x267x580</w:t>
            </w:r>
          </w:p>
        </w:tc>
        <w:tc>
          <w:tcPr>
            <w:tcW w:w="1420" w:type="dxa"/>
            <w:tcBorders>
              <w:top w:val="nil"/>
              <w:left w:val="nil"/>
              <w:bottom w:val="nil"/>
              <w:right w:val="nil"/>
            </w:tcBorders>
            <w:shd w:val="clear" w:color="auto" w:fill="auto"/>
            <w:noWrap/>
            <w:vAlign w:val="bottom"/>
            <w:hideMark/>
          </w:tcPr>
          <w:p>
            <w:pPr>
              <w:spacing w:after="0" w:line="240" w:lineRule="auto"/>
              <w:jc w:val="center"/>
              <w:rPr>
                <w:rFonts w:eastAsia="Times New Roman" w:cs="Calibri"/>
                <w:lang w:eastAsia="de-DE"/>
              </w:rPr>
            </w:pPr>
            <w:r>
              <w:rPr>
                <w:rFonts w:eastAsia="Times New Roman" w:cs="Calibri"/>
                <w:lang w:eastAsia="de-DE"/>
              </w:rPr>
              <w:t>30/520/30</w:t>
            </w:r>
          </w:p>
        </w:tc>
      </w:tr>
    </w:tbl>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p>
    <w:p>
      <w:pPr>
        <w:spacing w:after="0"/>
        <w:rPr>
          <w:rFonts w:ascii="Arial" w:hAnsi="Arial" w:cs="Arial"/>
        </w:rPr>
      </w:pPr>
      <w:r>
        <w:rPr>
          <w:rFonts w:ascii="Arial" w:hAnsi="Arial" w:cs="Arial"/>
        </w:rPr>
        <w:t xml:space="preserve">Weitere Informationen unter: </w:t>
      </w:r>
    </w:p>
    <w:p>
      <w:pPr>
        <w:spacing w:after="0"/>
        <w:rPr>
          <w:rFonts w:ascii="Arial" w:hAnsi="Arial" w:cs="Arial"/>
          <w:b/>
          <w:bCs/>
          <w:color w:val="009DA2"/>
          <w:sz w:val="19"/>
          <w:szCs w:val="19"/>
        </w:rPr>
      </w:pPr>
      <w:r>
        <w:rPr>
          <w:rFonts w:ascii="Arial" w:hAnsi="Arial" w:cs="Arial"/>
          <w:b/>
          <w:bCs/>
          <w:color w:val="009DA2"/>
          <w:sz w:val="19"/>
          <w:szCs w:val="19"/>
        </w:rPr>
        <w:t>https://www.industriegehaeuse.de/aluminium-gehaeuse/mobile-gehaeusesysteme/aluno-w-4000-19/</w:t>
      </w:r>
    </w:p>
    <w:p>
      <w:pPr>
        <w:spacing w:after="0"/>
        <w:jc w:val="both"/>
      </w:pPr>
    </w:p>
    <w:p>
      <w:pPr>
        <w:spacing w:after="0"/>
        <w:jc w:val="both"/>
        <w:rPr>
          <w:rFonts w:ascii="Arial" w:hAnsi="Arial" w:cs="Arial"/>
        </w:rPr>
      </w:pPr>
    </w:p>
    <w:p>
      <w:pPr>
        <w:spacing w:after="0"/>
        <w:jc w:val="both"/>
        <w:rPr>
          <w:rFonts w:ascii="Arial" w:hAnsi="Arial" w:cs="Arial"/>
        </w:rPr>
      </w:pPr>
      <w:r>
        <w:rPr>
          <w:rFonts w:ascii="Arial" w:hAnsi="Arial" w:cs="Arial"/>
        </w:rPr>
        <w:t xml:space="preserve">Die Richard Wöhr GmbH ist ein mittelständisches Familienunternehmen im Nordschwarzwald. Mit über 90 Mitarbeitern entwickelt, fertigt und vertreibt das Unternehmen weltweit kundenspezifische Komplettlösungen. Besonders Flacheingabesysteme, Folientastaturen, Touchscreens und Industriekomponenten für die Bereiche Steuern, Bedienen und Anzeigen sowie Industriegehäuse für vielseitige Anwendungen. </w:t>
      </w:r>
    </w:p>
    <w:p>
      <w:pPr>
        <w:spacing w:after="0"/>
        <w:jc w:val="both"/>
        <w:rPr>
          <w:rFonts w:ascii="Arial" w:hAnsi="Arial" w:cs="Arial"/>
        </w:rPr>
      </w:pPr>
    </w:p>
    <w:p>
      <w:pPr>
        <w:spacing w:after="0" w:line="360" w:lineRule="auto"/>
        <w:contextualSpacing/>
        <w:jc w:val="both"/>
        <w:rPr>
          <w:rFonts w:ascii="Arial" w:hAnsi="Arial" w:cs="Arial"/>
        </w:rPr>
      </w:pPr>
      <w:r>
        <w:rPr>
          <w:rFonts w:ascii="Arial" w:hAnsi="Arial" w:cs="Arial"/>
        </w:rPr>
        <w:t>Download dieser Pressemitteilung und weitere Informationen und Bilder unter:</w:t>
      </w:r>
    </w:p>
    <w:p>
      <w:pPr>
        <w:spacing w:after="0" w:line="360" w:lineRule="auto"/>
        <w:contextualSpacing/>
        <w:jc w:val="both"/>
        <w:rPr>
          <w:rStyle w:val="Hyperlink"/>
          <w:color w:val="009DA2"/>
          <w:sz w:val="22"/>
          <w:szCs w:val="22"/>
        </w:rPr>
      </w:pPr>
      <w:hyperlink r:id="rId10" w:history="1">
        <w:r>
          <w:rPr>
            <w:rStyle w:val="Hyperlink"/>
            <w:color w:val="009DA2"/>
            <w:sz w:val="22"/>
            <w:szCs w:val="22"/>
          </w:rPr>
          <w:t>http://www.WoehrGmbH.de/de/aktuelles-presse/pressecenter/</w:t>
        </w:r>
      </w:hyperlink>
      <w:r>
        <w:rPr>
          <w:rStyle w:val="Hyperlink"/>
          <w:color w:val="009DA2"/>
          <w:sz w:val="22"/>
          <w:szCs w:val="22"/>
        </w:rPr>
        <w:t xml:space="preserve"> </w:t>
      </w:r>
    </w:p>
    <w:p>
      <w:pPr>
        <w:spacing w:after="0" w:line="360" w:lineRule="auto"/>
        <w:contextualSpacing/>
        <w:jc w:val="both"/>
      </w:pPr>
    </w:p>
    <w:p>
      <w:pPr>
        <w:spacing w:after="0" w:line="360" w:lineRule="auto"/>
        <w:contextualSpacing/>
        <w:jc w:val="both"/>
      </w:pPr>
    </w:p>
    <w:p>
      <w:pPr>
        <w:spacing w:after="0" w:line="360" w:lineRule="auto"/>
        <w:contextualSpacing/>
        <w:jc w:val="both"/>
        <w:rPr>
          <w:rFonts w:ascii="Arial" w:hAnsi="Arial" w:cs="Arial"/>
          <w:sz w:val="24"/>
          <w:szCs w:val="24"/>
        </w:rPr>
      </w:pPr>
      <w:r>
        <w:br/>
      </w:r>
      <w:r>
        <w:rPr>
          <w:rFonts w:ascii="Arial" w:hAnsi="Arial" w:cs="Arial"/>
          <w:spacing w:val="1"/>
          <w:sz w:val="18"/>
          <w:szCs w:val="16"/>
        </w:rPr>
        <w:t>Weitere Informationen / Ansprechpartner:</w:t>
      </w:r>
    </w:p>
    <w:p>
      <w:pPr>
        <w:pStyle w:val="EinfacherAbsatz"/>
        <w:rPr>
          <w:rFonts w:ascii="Arial" w:hAnsi="Arial" w:cs="Arial"/>
          <w:spacing w:val="1"/>
          <w:sz w:val="18"/>
          <w:szCs w:val="16"/>
        </w:rPr>
      </w:pPr>
      <w:r>
        <w:rPr>
          <w:rFonts w:ascii="Arial" w:hAnsi="Arial" w:cs="Arial"/>
          <w:spacing w:val="1"/>
          <w:sz w:val="18"/>
          <w:szCs w:val="16"/>
        </w:rPr>
        <w:t>Richard Wöhr GmbH, Gräfenau 58-60, D-75339 Höfen / Enz</w:t>
      </w:r>
    </w:p>
    <w:p>
      <w:pPr>
        <w:spacing w:after="0"/>
        <w:rPr>
          <w:rFonts w:ascii="Arial" w:hAnsi="Arial" w:cs="Arial"/>
          <w:spacing w:val="1"/>
          <w:sz w:val="18"/>
          <w:szCs w:val="16"/>
        </w:rPr>
      </w:pPr>
      <w:r>
        <w:rPr>
          <w:rFonts w:ascii="Arial" w:hAnsi="Arial" w:cs="Arial"/>
          <w:spacing w:val="1"/>
          <w:sz w:val="18"/>
          <w:szCs w:val="16"/>
        </w:rPr>
        <w:t xml:space="preserve">Tel. +49 7081 95 40 - 0, Fax +49 7081 95 40 - 90, </w:t>
      </w:r>
      <w:r>
        <w:rPr>
          <w:rFonts w:ascii="Arial" w:hAnsi="Arial" w:cs="Arial"/>
          <w:spacing w:val="1"/>
          <w:sz w:val="18"/>
          <w:szCs w:val="16"/>
        </w:rPr>
        <w:br/>
        <w:t xml:space="preserve">E-Mail: </w:t>
      </w:r>
      <w:hyperlink r:id="rId11" w:history="1">
        <w:r>
          <w:rPr>
            <w:rStyle w:val="Hyperlink"/>
            <w:color w:val="009DA2"/>
            <w:spacing w:val="1"/>
            <w:sz w:val="18"/>
            <w:szCs w:val="16"/>
          </w:rPr>
          <w:t>Marketing@WoehrGmbH.de</w:t>
        </w:r>
      </w:hyperlink>
    </w:p>
    <w:sectPr>
      <w:headerReference w:type="default" r:id="rId12"/>
      <w:pgSz w:w="11906" w:h="16838"/>
      <w:pgMar w:top="2694" w:right="1416" w:bottom="851" w:left="11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StalemateLigh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rPr>
        <w:noProof/>
        <w:lang w:eastAsia="de-DE"/>
      </w:rPr>
      <w:drawing>
        <wp:anchor distT="0" distB="0" distL="114300" distR="114300" simplePos="0" relativeHeight="251657728" behindDoc="1" locked="1" layoutInCell="1" allowOverlap="1">
          <wp:simplePos x="0" y="0"/>
          <wp:positionH relativeFrom="page">
            <wp:posOffset>12065</wp:posOffset>
          </wp:positionH>
          <wp:positionV relativeFrom="page">
            <wp:posOffset>0</wp:posOffset>
          </wp:positionV>
          <wp:extent cx="7555230" cy="10687685"/>
          <wp:effectExtent l="0" t="0" r="7620" b="0"/>
          <wp:wrapNone/>
          <wp:docPr id="12" name="Grafik 0" descr="Vorlage_Pressemeldung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Vorlage_Pressemeldung_Off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76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45C58"/>
    <w:multiLevelType w:val="hybridMultilevel"/>
    <w:tmpl w:val="6D864D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AF7FE5"/>
    <w:multiLevelType w:val="hybridMultilevel"/>
    <w:tmpl w:val="92DCA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0338B6"/>
    <w:multiLevelType w:val="multilevel"/>
    <w:tmpl w:val="98B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C50F7D"/>
    <w:multiLevelType w:val="hybridMultilevel"/>
    <w:tmpl w:val="0DDE414A"/>
    <w:lvl w:ilvl="0" w:tplc="BC441758">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D7698EE-8316-4930-9E79-F991A739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EinfacherAbsatz">
    <w:name w:val="[Einfacher Absatz]"/>
    <w:basedOn w:val="Standard"/>
    <w:uiPriority w:val="99"/>
    <w:pPr>
      <w:autoSpaceDE w:val="0"/>
      <w:autoSpaceDN w:val="0"/>
      <w:adjustRightInd w:val="0"/>
      <w:spacing w:after="0" w:line="288" w:lineRule="auto"/>
      <w:textAlignment w:val="center"/>
    </w:pPr>
    <w:rPr>
      <w:rFonts w:ascii="Times-Roman" w:hAnsi="Times-Roman" w:cs="Times-Roman"/>
      <w:color w:val="000000"/>
      <w:sz w:val="24"/>
      <w:szCs w:val="24"/>
    </w:rPr>
  </w:style>
  <w:style w:type="character" w:styleId="Hyperlink">
    <w:name w:val="Hyperlink"/>
    <w:basedOn w:val="Absatz-Standardschriftart"/>
    <w:uiPriority w:val="99"/>
    <w:unhideWhenUsed/>
    <w:rPr>
      <w:rFonts w:ascii="Arial" w:hAnsi="Arial" w:cs="Arial" w:hint="default"/>
      <w:b/>
      <w:bCs/>
      <w:strike w:val="0"/>
      <w:dstrike w:val="0"/>
      <w:color w:val="15755E"/>
      <w:sz w:val="20"/>
      <w:szCs w:val="20"/>
      <w:u w:val="none"/>
      <w:effect w:val="none"/>
    </w:rPr>
  </w:style>
  <w:style w:type="character" w:customStyle="1" w:styleId="berschrift1Zchn">
    <w:name w:val="Überschrift 1 Zchn"/>
    <w:basedOn w:val="Absatz-Standardschriftart"/>
    <w:link w:val="berschrift1"/>
    <w:uiPriority w:val="9"/>
    <w:rPr>
      <w:rFonts w:ascii="Times New Roman" w:eastAsia="Times New Roman" w:hAnsi="Times New Roman"/>
      <w:b/>
      <w:bCs/>
      <w:kern w:val="36"/>
      <w:sz w:val="48"/>
      <w:szCs w:val="4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paragraph" w:styleId="Listenabsatz">
    <w:name w:val="List Paragraph"/>
    <w:basedOn w:val="Standard"/>
    <w:uiPriority w:val="34"/>
    <w:qFormat/>
    <w:pPr>
      <w:ind w:left="720"/>
      <w:contextualSpacing/>
    </w:pPr>
    <w:rPr>
      <w:rFonts w:asciiTheme="minorHAnsi" w:eastAsiaTheme="minorHAnsi" w:hAnsiTheme="minorHAnsi" w:cstheme="minorBidi"/>
    </w:rPr>
  </w:style>
  <w:style w:type="table" w:styleId="Tabellenraster">
    <w:name w:val="Table Grid"/>
    <w:basedOn w:val="NormaleTabelle"/>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Pr>
      <w:sz w:val="22"/>
      <w:szCs w:val="22"/>
      <w:lang w:eastAsia="en-US"/>
    </w:rPr>
  </w:style>
  <w:style w:type="paragraph" w:customStyle="1" w:styleId="bodytext">
    <w:name w:val="bodytext"/>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890210">
      <w:bodyDiv w:val="1"/>
      <w:marLeft w:val="0"/>
      <w:marRight w:val="0"/>
      <w:marTop w:val="0"/>
      <w:marBottom w:val="0"/>
      <w:divBdr>
        <w:top w:val="none" w:sz="0" w:space="0" w:color="auto"/>
        <w:left w:val="none" w:sz="0" w:space="0" w:color="auto"/>
        <w:bottom w:val="none" w:sz="0" w:space="0" w:color="auto"/>
        <w:right w:val="none" w:sz="0" w:space="0" w:color="auto"/>
      </w:divBdr>
    </w:div>
    <w:div w:id="668870392">
      <w:bodyDiv w:val="1"/>
      <w:marLeft w:val="0"/>
      <w:marRight w:val="0"/>
      <w:marTop w:val="0"/>
      <w:marBottom w:val="0"/>
      <w:divBdr>
        <w:top w:val="none" w:sz="0" w:space="0" w:color="auto"/>
        <w:left w:val="none" w:sz="0" w:space="0" w:color="auto"/>
        <w:bottom w:val="none" w:sz="0" w:space="0" w:color="auto"/>
        <w:right w:val="none" w:sz="0" w:space="0" w:color="auto"/>
      </w:divBdr>
    </w:div>
    <w:div w:id="834999978">
      <w:bodyDiv w:val="1"/>
      <w:marLeft w:val="0"/>
      <w:marRight w:val="0"/>
      <w:marTop w:val="0"/>
      <w:marBottom w:val="0"/>
      <w:divBdr>
        <w:top w:val="none" w:sz="0" w:space="0" w:color="auto"/>
        <w:left w:val="none" w:sz="0" w:space="0" w:color="auto"/>
        <w:bottom w:val="none" w:sz="0" w:space="0" w:color="auto"/>
        <w:right w:val="none" w:sz="0" w:space="0" w:color="auto"/>
      </w:divBdr>
    </w:div>
    <w:div w:id="856583335">
      <w:bodyDiv w:val="1"/>
      <w:marLeft w:val="0"/>
      <w:marRight w:val="0"/>
      <w:marTop w:val="0"/>
      <w:marBottom w:val="0"/>
      <w:divBdr>
        <w:top w:val="none" w:sz="0" w:space="0" w:color="auto"/>
        <w:left w:val="none" w:sz="0" w:space="0" w:color="auto"/>
        <w:bottom w:val="none" w:sz="0" w:space="0" w:color="auto"/>
        <w:right w:val="none" w:sz="0" w:space="0" w:color="auto"/>
      </w:divBdr>
    </w:div>
    <w:div w:id="2094667428">
      <w:bodyDiv w:val="1"/>
      <w:marLeft w:val="0"/>
      <w:marRight w:val="0"/>
      <w:marTop w:val="0"/>
      <w:marBottom w:val="0"/>
      <w:divBdr>
        <w:top w:val="none" w:sz="0" w:space="0" w:color="auto"/>
        <w:left w:val="none" w:sz="0" w:space="0" w:color="auto"/>
        <w:bottom w:val="none" w:sz="0" w:space="0" w:color="auto"/>
        <w:right w:val="none" w:sz="0" w:space="0" w:color="auto"/>
      </w:divBdr>
    </w:div>
    <w:div w:id="213008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WoehrGmbH.de" TargetMode="External"/><Relationship Id="rId5" Type="http://schemas.openxmlformats.org/officeDocument/2006/relationships/webSettings" Target="webSettings.xml"/><Relationship Id="rId10" Type="http://schemas.openxmlformats.org/officeDocument/2006/relationships/hyperlink" Target="http://www.WoehrGmbH.de/de/aktuelles-presse/pressecen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erenbach\Documents\PRESSEMELD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00A50-6BB6-4997-BBED-645E7E29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PRESSEMELDUNG.dotx</Template>
  <TotalTime>0</TotalTime>
  <Pages>2</Pages>
  <Words>414</Words>
  <Characters>2611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Jacqueline Thumm</cp:lastModifiedBy>
  <cp:revision>87</cp:revision>
  <cp:lastPrinted>2021-10-26T07:00:00Z</cp:lastPrinted>
  <dcterms:created xsi:type="dcterms:W3CDTF">2015-06-19T06:26:00Z</dcterms:created>
  <dcterms:modified xsi:type="dcterms:W3CDTF">2021-10-26T07:01:00Z</dcterms:modified>
</cp:coreProperties>
</file>