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953150">
        <w:rPr>
          <w:rFonts w:ascii="Arial" w:hAnsi="Arial" w:cs="Arial"/>
          <w:b/>
          <w:spacing w:val="1"/>
          <w:sz w:val="28"/>
          <w:szCs w:val="28"/>
        </w:rPr>
        <w:t>20</w:t>
      </w:r>
      <w:r w:rsidR="00E9083F">
        <w:rPr>
          <w:rFonts w:ascii="Arial" w:hAnsi="Arial" w:cs="Arial"/>
          <w:b/>
          <w:spacing w:val="1"/>
          <w:sz w:val="28"/>
          <w:szCs w:val="28"/>
        </w:rPr>
        <w:t>.0</w:t>
      </w:r>
      <w:r w:rsidR="007E2AB3">
        <w:rPr>
          <w:rFonts w:ascii="Arial" w:hAnsi="Arial" w:cs="Arial"/>
          <w:b/>
          <w:spacing w:val="1"/>
          <w:sz w:val="28"/>
          <w:szCs w:val="28"/>
        </w:rPr>
        <w:t>3</w:t>
      </w:r>
      <w:r w:rsidR="00E9083F">
        <w:rPr>
          <w:rFonts w:ascii="Arial" w:hAnsi="Arial" w:cs="Arial"/>
          <w:b/>
          <w:spacing w:val="1"/>
          <w:sz w:val="28"/>
          <w:szCs w:val="28"/>
        </w:rPr>
        <w:t>.2017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891486" w:rsidRDefault="00891486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>
        <w:rPr>
          <w:rFonts w:ascii="Arial" w:hAnsi="Arial" w:cs="Arial"/>
          <w:sz w:val="28"/>
          <w:szCs w:val="28"/>
        </w:rPr>
        <w:t xml:space="preserve">® </w:t>
      </w:r>
      <w:r w:rsidR="00B16CA2">
        <w:rPr>
          <w:rFonts w:ascii="Arial" w:hAnsi="Arial" w:cs="Arial"/>
          <w:sz w:val="28"/>
          <w:szCs w:val="28"/>
        </w:rPr>
        <w:t xml:space="preserve">erweitert sein Produktprogramm der </w:t>
      </w:r>
      <w:r w:rsidR="00E9083F">
        <w:rPr>
          <w:rFonts w:ascii="Arial" w:hAnsi="Arial" w:cs="Arial"/>
          <w:sz w:val="28"/>
          <w:szCs w:val="28"/>
        </w:rPr>
        <w:t>Hutschienengehäuse aus Aluminium</w:t>
      </w:r>
    </w:p>
    <w:p w:rsidR="00EB5698" w:rsidRPr="00D92B7B" w:rsidRDefault="0027129D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Die Aluminium-Gehäuseserien </w:t>
      </w:r>
      <w:r w:rsidR="003B06BA">
        <w:rPr>
          <w:rFonts w:ascii="Arial" w:hAnsi="Arial" w:cs="Arial"/>
          <w:sz w:val="22"/>
          <w:szCs w:val="22"/>
        </w:rPr>
        <w:t>ALU-COMPACT</w:t>
      </w:r>
      <w:r>
        <w:rPr>
          <w:rFonts w:ascii="Arial" w:hAnsi="Arial" w:cs="Arial"/>
          <w:sz w:val="22"/>
          <w:szCs w:val="22"/>
        </w:rPr>
        <w:t xml:space="preserve"> </w:t>
      </w:r>
      <w:r w:rsidR="003B06BA">
        <w:rPr>
          <w:rFonts w:ascii="Arial" w:hAnsi="Arial" w:cs="Arial"/>
          <w:sz w:val="22"/>
          <w:szCs w:val="22"/>
        </w:rPr>
        <w:t>und ALU-ECOPAC</w:t>
      </w:r>
      <w:r w:rsidR="00B16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sind zukünftig auch als </w:t>
      </w:r>
      <w:proofErr w:type="spellStart"/>
      <w:r w:rsidR="00FC3FB2">
        <w:rPr>
          <w:rFonts w:ascii="Arial" w:hAnsi="Arial" w:cs="Arial"/>
          <w:sz w:val="22"/>
          <w:szCs w:val="22"/>
        </w:rPr>
        <w:t>DinRa</w:t>
      </w:r>
      <w:proofErr w:type="spellEnd"/>
      <w:r w:rsidR="00753B6F">
        <w:rPr>
          <w:rFonts w:ascii="Arial" w:hAnsi="Arial" w:cs="Arial"/>
          <w:sz w:val="22"/>
          <w:szCs w:val="22"/>
        </w:rPr>
        <w:t xml:space="preserve"> (Din </w:t>
      </w:r>
      <w:proofErr w:type="spellStart"/>
      <w:r w:rsidR="00753B6F">
        <w:rPr>
          <w:rFonts w:ascii="Arial" w:hAnsi="Arial" w:cs="Arial"/>
          <w:sz w:val="22"/>
          <w:szCs w:val="22"/>
        </w:rPr>
        <w:t>R</w:t>
      </w:r>
      <w:r w:rsidR="00A73E52">
        <w:rPr>
          <w:rFonts w:ascii="Arial" w:hAnsi="Arial" w:cs="Arial"/>
          <w:sz w:val="22"/>
          <w:szCs w:val="22"/>
        </w:rPr>
        <w:t>ail</w:t>
      </w:r>
      <w:proofErr w:type="spellEnd"/>
      <w:r w:rsidR="00A73E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Gehäuse erhältlich.</w:t>
      </w:r>
    </w:p>
    <w:p w:rsidR="00683B91" w:rsidRDefault="006643B2" w:rsidP="00541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C26EE">
        <w:rPr>
          <w:rFonts w:ascii="Arial" w:hAnsi="Arial" w:cs="Arial"/>
        </w:rPr>
        <w:t xml:space="preserve"> Richard</w:t>
      </w:r>
      <w:r>
        <w:rPr>
          <w:rFonts w:ascii="Arial" w:hAnsi="Arial" w:cs="Arial"/>
        </w:rPr>
        <w:t xml:space="preserve"> Wöhr GmbH</w:t>
      </w:r>
      <w:r w:rsidR="00E600E8">
        <w:rPr>
          <w:rFonts w:ascii="Arial" w:hAnsi="Arial" w:cs="Arial"/>
        </w:rPr>
        <w:t xml:space="preserve"> mit Sitz in Höfen</w:t>
      </w:r>
      <w:r w:rsidR="00953150">
        <w:rPr>
          <w:rFonts w:ascii="Arial" w:hAnsi="Arial" w:cs="Arial"/>
        </w:rPr>
        <w:t xml:space="preserve"> an der Enz</w:t>
      </w:r>
      <w:r w:rsidR="00960299">
        <w:rPr>
          <w:rFonts w:ascii="Arial" w:hAnsi="Arial" w:cs="Arial"/>
        </w:rPr>
        <w:t xml:space="preserve"> erweitert ihr </w:t>
      </w:r>
      <w:r w:rsidR="003B06BA">
        <w:rPr>
          <w:rFonts w:ascii="Arial" w:hAnsi="Arial" w:cs="Arial"/>
        </w:rPr>
        <w:t>Gehäuse</w:t>
      </w:r>
      <w:r w:rsidR="00960299">
        <w:rPr>
          <w:rFonts w:ascii="Arial" w:hAnsi="Arial" w:cs="Arial"/>
        </w:rPr>
        <w:t xml:space="preserve">programm um weitere </w:t>
      </w:r>
      <w:proofErr w:type="spellStart"/>
      <w:r w:rsidR="00FC3FB2">
        <w:rPr>
          <w:rFonts w:ascii="Arial" w:hAnsi="Arial" w:cs="Arial"/>
        </w:rPr>
        <w:t>DinRa</w:t>
      </w:r>
      <w:proofErr w:type="spellEnd"/>
      <w:r w:rsidR="00A86B00">
        <w:rPr>
          <w:rFonts w:ascii="Arial" w:hAnsi="Arial" w:cs="Arial"/>
        </w:rPr>
        <w:t>-</w:t>
      </w:r>
      <w:r w:rsidR="003B06BA">
        <w:rPr>
          <w:rFonts w:ascii="Arial" w:hAnsi="Arial" w:cs="Arial"/>
        </w:rPr>
        <w:t>G</w:t>
      </w:r>
      <w:r w:rsidR="00960299">
        <w:rPr>
          <w:rFonts w:ascii="Arial" w:hAnsi="Arial" w:cs="Arial"/>
        </w:rPr>
        <w:t>ehäuse</w:t>
      </w:r>
      <w:r w:rsidR="00162154">
        <w:rPr>
          <w:rFonts w:ascii="Arial" w:hAnsi="Arial" w:cs="Arial"/>
        </w:rPr>
        <w:t xml:space="preserve"> aus </w:t>
      </w:r>
      <w:r w:rsidR="003B06BA">
        <w:rPr>
          <w:rFonts w:ascii="Arial" w:hAnsi="Arial" w:cs="Arial"/>
        </w:rPr>
        <w:t>Aluminium</w:t>
      </w:r>
      <w:r w:rsidR="00960299">
        <w:rPr>
          <w:rFonts w:ascii="Arial" w:hAnsi="Arial" w:cs="Arial"/>
        </w:rPr>
        <w:t>.</w:t>
      </w:r>
      <w:r w:rsidR="001C4826">
        <w:rPr>
          <w:rFonts w:ascii="Arial" w:hAnsi="Arial" w:cs="Arial"/>
        </w:rPr>
        <w:t xml:space="preserve"> </w:t>
      </w:r>
      <w:r w:rsidR="0049475E">
        <w:rPr>
          <w:rFonts w:ascii="Arial" w:hAnsi="Arial" w:cs="Arial"/>
        </w:rPr>
        <w:t>Ne</w:t>
      </w:r>
      <w:r w:rsidR="00FC3FB2">
        <w:rPr>
          <w:rFonts w:ascii="Arial" w:hAnsi="Arial" w:cs="Arial"/>
        </w:rPr>
        <w:t xml:space="preserve">ben dem bislang verfügbaren </w:t>
      </w:r>
      <w:proofErr w:type="spellStart"/>
      <w:r w:rsidR="00FC3FB2">
        <w:rPr>
          <w:rFonts w:ascii="Arial" w:hAnsi="Arial" w:cs="Arial"/>
        </w:rPr>
        <w:t>DinRa</w:t>
      </w:r>
      <w:proofErr w:type="spellEnd"/>
      <w:r w:rsidR="0049475E">
        <w:rPr>
          <w:rFonts w:ascii="Arial" w:hAnsi="Arial" w:cs="Arial"/>
        </w:rPr>
        <w:t>-Gehäuse werden nun zwei weitere Serien mit ansprechendem Design angeboten</w:t>
      </w:r>
      <w:r w:rsidR="00FC3FB2">
        <w:rPr>
          <w:rFonts w:ascii="Arial" w:hAnsi="Arial" w:cs="Arial"/>
        </w:rPr>
        <w:t xml:space="preserve">. </w:t>
      </w:r>
      <w:proofErr w:type="spellStart"/>
      <w:r w:rsidR="00FC3FB2">
        <w:rPr>
          <w:rFonts w:ascii="Arial" w:hAnsi="Arial" w:cs="Arial"/>
        </w:rPr>
        <w:t>DinRa</w:t>
      </w:r>
      <w:proofErr w:type="spellEnd"/>
      <w:r w:rsidR="00FC3FB2">
        <w:rPr>
          <w:rFonts w:ascii="Arial" w:hAnsi="Arial" w:cs="Arial"/>
        </w:rPr>
        <w:t>-</w:t>
      </w:r>
      <w:r w:rsidR="00A73E52">
        <w:rPr>
          <w:rFonts w:ascii="Arial" w:hAnsi="Arial" w:cs="Arial"/>
        </w:rPr>
        <w:t>ALU-COMPACT und</w:t>
      </w:r>
      <w:r w:rsidR="00FC3FB2">
        <w:rPr>
          <w:rFonts w:ascii="Arial" w:hAnsi="Arial" w:cs="Arial"/>
        </w:rPr>
        <w:t xml:space="preserve"> </w:t>
      </w:r>
      <w:proofErr w:type="spellStart"/>
      <w:r w:rsidR="00FC3FB2">
        <w:rPr>
          <w:rFonts w:ascii="Arial" w:hAnsi="Arial" w:cs="Arial"/>
        </w:rPr>
        <w:t>DinRa</w:t>
      </w:r>
      <w:proofErr w:type="spellEnd"/>
      <w:r w:rsidR="00FC3FB2">
        <w:rPr>
          <w:rFonts w:ascii="Arial" w:hAnsi="Arial" w:cs="Arial"/>
        </w:rPr>
        <w:t>-</w:t>
      </w:r>
      <w:r w:rsidR="00A73E52">
        <w:rPr>
          <w:rFonts w:ascii="Arial" w:hAnsi="Arial" w:cs="Arial"/>
        </w:rPr>
        <w:t>ALU-ECOPAC</w:t>
      </w:r>
      <w:r w:rsidR="0049475E">
        <w:rPr>
          <w:rFonts w:ascii="Arial" w:hAnsi="Arial" w:cs="Arial"/>
        </w:rPr>
        <w:t>.</w:t>
      </w:r>
      <w:r w:rsidR="00A73E52">
        <w:rPr>
          <w:rFonts w:ascii="Arial" w:hAnsi="Arial" w:cs="Arial"/>
        </w:rPr>
        <w:t xml:space="preserve"> Die beiden Serien unterscheiden sich lediglich in ihrer Optik. Die Funktion elektronische Bauteile geschützt in einem </w:t>
      </w:r>
      <w:r w:rsidR="009A1138">
        <w:rPr>
          <w:rFonts w:ascii="Arial" w:hAnsi="Arial" w:cs="Arial"/>
        </w:rPr>
        <w:t>Schaltschrank</w:t>
      </w:r>
      <w:r w:rsidR="00A73E52">
        <w:rPr>
          <w:rFonts w:ascii="Arial" w:hAnsi="Arial" w:cs="Arial"/>
        </w:rPr>
        <w:t xml:space="preserve"> oder allgemein an einer Tragschiene</w:t>
      </w:r>
      <w:r w:rsidR="00425DD3">
        <w:rPr>
          <w:rFonts w:ascii="Arial" w:hAnsi="Arial" w:cs="Arial"/>
        </w:rPr>
        <w:t xml:space="preserve"> (35mm)</w:t>
      </w:r>
      <w:r w:rsidR="00A73E52">
        <w:rPr>
          <w:rFonts w:ascii="Arial" w:hAnsi="Arial" w:cs="Arial"/>
        </w:rPr>
        <w:t xml:space="preserve"> zu befestigen</w:t>
      </w:r>
      <w:r w:rsidR="00FC3FB2">
        <w:rPr>
          <w:rFonts w:ascii="Arial" w:hAnsi="Arial" w:cs="Arial"/>
        </w:rPr>
        <w:t xml:space="preserve">, ist bei beiden Versionen dieselbe. </w:t>
      </w:r>
      <w:r w:rsidR="00425DD3">
        <w:rPr>
          <w:rFonts w:ascii="Arial" w:hAnsi="Arial" w:cs="Arial"/>
        </w:rPr>
        <w:t>Beide Serien sind in den</w:t>
      </w:r>
      <w:r w:rsidR="005D44FA">
        <w:rPr>
          <w:rFonts w:ascii="Arial" w:hAnsi="Arial" w:cs="Arial"/>
        </w:rPr>
        <w:t xml:space="preserve"> Standardbreiten 30, 40, 50, 60</w:t>
      </w:r>
      <w:r w:rsidR="00425DD3">
        <w:rPr>
          <w:rFonts w:ascii="Arial" w:hAnsi="Arial" w:cs="Arial"/>
        </w:rPr>
        <w:t>,</w:t>
      </w:r>
      <w:r w:rsidR="005D44FA">
        <w:rPr>
          <w:rFonts w:ascii="Arial" w:hAnsi="Arial" w:cs="Arial"/>
        </w:rPr>
        <w:t xml:space="preserve"> </w:t>
      </w:r>
      <w:r w:rsidR="00425DD3">
        <w:rPr>
          <w:rFonts w:ascii="Arial" w:hAnsi="Arial" w:cs="Arial"/>
        </w:rPr>
        <w:t>80 und 100mm erhältlich, kundenspezifische Breiten</w:t>
      </w:r>
      <w:r w:rsidR="00F7445F">
        <w:rPr>
          <w:rFonts w:ascii="Arial" w:hAnsi="Arial" w:cs="Arial"/>
        </w:rPr>
        <w:t xml:space="preserve"> sind</w:t>
      </w:r>
      <w:r w:rsidR="00425DD3">
        <w:rPr>
          <w:rFonts w:ascii="Arial" w:hAnsi="Arial" w:cs="Arial"/>
        </w:rPr>
        <w:t xml:space="preserve"> auf Anfrage realisierbar</w:t>
      </w:r>
      <w:r w:rsidR="005504D0">
        <w:rPr>
          <w:rFonts w:ascii="Arial" w:hAnsi="Arial" w:cs="Arial"/>
        </w:rPr>
        <w:t>, Hö</w:t>
      </w:r>
      <w:r w:rsidR="000C53E0">
        <w:rPr>
          <w:rFonts w:ascii="Arial" w:hAnsi="Arial" w:cs="Arial"/>
        </w:rPr>
        <w:t>he und Tiefe eines Gehäuses können</w:t>
      </w:r>
      <w:r w:rsidR="005D44FA">
        <w:rPr>
          <w:rFonts w:ascii="Arial" w:hAnsi="Arial" w:cs="Arial"/>
        </w:rPr>
        <w:t xml:space="preserve"> ebenfalls</w:t>
      </w:r>
      <w:r w:rsidR="005504D0">
        <w:rPr>
          <w:rFonts w:ascii="Arial" w:hAnsi="Arial" w:cs="Arial"/>
        </w:rPr>
        <w:t xml:space="preserve"> frei bestimmt werden</w:t>
      </w:r>
      <w:r w:rsidR="00425DD3">
        <w:rPr>
          <w:rFonts w:ascii="Arial" w:hAnsi="Arial" w:cs="Arial"/>
        </w:rPr>
        <w:t>.</w:t>
      </w:r>
      <w:r w:rsidR="00A372B9">
        <w:rPr>
          <w:rFonts w:ascii="Arial" w:hAnsi="Arial" w:cs="Arial"/>
        </w:rPr>
        <w:t xml:space="preserve"> Die Auswahl der Front</w:t>
      </w:r>
      <w:r w:rsidR="009327A1">
        <w:rPr>
          <w:rFonts w:ascii="Arial" w:hAnsi="Arial" w:cs="Arial"/>
        </w:rPr>
        <w:t xml:space="preserve">plattenstärke ist beim ALU-COMPACT auf 2,0mm beschränkt aufgrund der </w:t>
      </w:r>
      <w:r w:rsidR="00AA5D7F">
        <w:rPr>
          <w:rFonts w:ascii="Arial" w:hAnsi="Arial" w:cs="Arial"/>
        </w:rPr>
        <w:t xml:space="preserve">Passgenauigkeit der </w:t>
      </w:r>
      <w:r w:rsidR="009327A1">
        <w:rPr>
          <w:rFonts w:ascii="Arial" w:hAnsi="Arial" w:cs="Arial"/>
        </w:rPr>
        <w:t>in neun verschiedene</w:t>
      </w:r>
      <w:r w:rsidR="008C1FD2">
        <w:rPr>
          <w:rFonts w:ascii="Arial" w:hAnsi="Arial" w:cs="Arial"/>
        </w:rPr>
        <w:t>n Farben erhältlichen Eckstücke</w:t>
      </w:r>
      <w:r w:rsidR="009327A1">
        <w:rPr>
          <w:rFonts w:ascii="Arial" w:hAnsi="Arial" w:cs="Arial"/>
        </w:rPr>
        <w:t xml:space="preserve">. </w:t>
      </w:r>
      <w:r w:rsidR="00662FAF">
        <w:rPr>
          <w:rFonts w:ascii="Arial" w:hAnsi="Arial" w:cs="Arial"/>
        </w:rPr>
        <w:t>Für beide Serien sind Einschubstreifen in den g</w:t>
      </w:r>
      <w:r w:rsidR="00953150">
        <w:rPr>
          <w:rFonts w:ascii="Arial" w:hAnsi="Arial" w:cs="Arial"/>
        </w:rPr>
        <w:t>leichen Farben erhältlich. Die d</w:t>
      </w:r>
      <w:r w:rsidR="00662FAF">
        <w:rPr>
          <w:rFonts w:ascii="Arial" w:hAnsi="Arial" w:cs="Arial"/>
        </w:rPr>
        <w:t>esign-technisch anspruchsvollen Eckstücke sind bei der</w:t>
      </w:r>
      <w:r w:rsidR="00A372B9">
        <w:rPr>
          <w:rFonts w:ascii="Arial" w:hAnsi="Arial" w:cs="Arial"/>
        </w:rPr>
        <w:t xml:space="preserve"> kostengünstigeren ALU-ECOPAC</w:t>
      </w:r>
      <w:r w:rsidR="005D44FA">
        <w:rPr>
          <w:rFonts w:ascii="Arial" w:hAnsi="Arial" w:cs="Arial"/>
        </w:rPr>
        <w:t xml:space="preserve"> Serie zwar nicht erhältlich, jedoch ist bei dieser Version</w:t>
      </w:r>
      <w:r w:rsidR="00A372B9">
        <w:rPr>
          <w:rFonts w:ascii="Arial" w:hAnsi="Arial" w:cs="Arial"/>
        </w:rPr>
        <w:t xml:space="preserve"> </w:t>
      </w:r>
      <w:r w:rsidR="00662FAF">
        <w:rPr>
          <w:rFonts w:ascii="Arial" w:hAnsi="Arial" w:cs="Arial"/>
        </w:rPr>
        <w:t>die</w:t>
      </w:r>
      <w:r w:rsidR="00A372B9">
        <w:rPr>
          <w:rFonts w:ascii="Arial" w:hAnsi="Arial" w:cs="Arial"/>
        </w:rPr>
        <w:t xml:space="preserve"> Stärke der Frontplatte variabel.</w:t>
      </w:r>
      <w:r w:rsidR="00AA5D7F">
        <w:rPr>
          <w:rFonts w:ascii="Arial" w:hAnsi="Arial" w:cs="Arial"/>
        </w:rPr>
        <w:t xml:space="preserve"> </w:t>
      </w:r>
      <w:r w:rsidR="00FB6760">
        <w:rPr>
          <w:rFonts w:ascii="Arial" w:hAnsi="Arial" w:cs="Arial"/>
        </w:rPr>
        <w:t xml:space="preserve">Beide Serien sind in der Standardausführung eloxiert, </w:t>
      </w:r>
      <w:r w:rsidR="00953150">
        <w:rPr>
          <w:rFonts w:ascii="Arial" w:hAnsi="Arial" w:cs="Arial"/>
        </w:rPr>
        <w:t>(</w:t>
      </w:r>
      <w:r w:rsidR="00FB6760">
        <w:rPr>
          <w:rFonts w:ascii="Arial" w:hAnsi="Arial" w:cs="Arial"/>
        </w:rPr>
        <w:t>Schnittkanten blank</w:t>
      </w:r>
      <w:r w:rsidR="00953150">
        <w:rPr>
          <w:rFonts w:ascii="Arial" w:hAnsi="Arial" w:cs="Arial"/>
        </w:rPr>
        <w:t>)</w:t>
      </w:r>
      <w:r w:rsidR="00E974A5">
        <w:rPr>
          <w:rFonts w:ascii="Arial" w:hAnsi="Arial" w:cs="Arial"/>
        </w:rPr>
        <w:t xml:space="preserve"> erhältlich</w:t>
      </w:r>
      <w:r w:rsidR="00FB6760">
        <w:rPr>
          <w:rFonts w:ascii="Arial" w:hAnsi="Arial" w:cs="Arial"/>
        </w:rPr>
        <w:t>. Kundenspezifische</w:t>
      </w:r>
      <w:bookmarkStart w:id="0" w:name="_GoBack"/>
      <w:bookmarkEnd w:id="0"/>
      <w:r w:rsidR="00FB6760">
        <w:rPr>
          <w:rFonts w:ascii="Arial" w:hAnsi="Arial" w:cs="Arial"/>
        </w:rPr>
        <w:t xml:space="preserve"> mechanische oder oberflächentechnische Bearbeitungen sind problemlos möglich. </w:t>
      </w:r>
    </w:p>
    <w:p w:rsidR="001E0B92" w:rsidRPr="008D45D8" w:rsidRDefault="005414BA" w:rsidP="005414BA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 </w:t>
      </w:r>
    </w:p>
    <w:p w:rsidR="00EB5698" w:rsidRPr="005D3ED5" w:rsidRDefault="0073734C" w:rsidP="005001F3">
      <w:pPr>
        <w:spacing w:after="0"/>
        <w:jc w:val="both"/>
        <w:rPr>
          <w:rFonts w:ascii="Arial" w:hAnsi="Arial" w:cs="Arial"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>Technische Daten</w:t>
      </w:r>
      <w:r w:rsidR="00DC167D">
        <w:rPr>
          <w:rFonts w:ascii="Arial" w:hAnsi="Arial" w:cs="Arial"/>
          <w:b/>
        </w:rPr>
        <w:t xml:space="preserve"> ALU-COMPACT-</w:t>
      </w:r>
      <w:proofErr w:type="spellStart"/>
      <w:r w:rsidR="00DC167D">
        <w:rPr>
          <w:rFonts w:ascii="Arial" w:hAnsi="Arial" w:cs="Arial"/>
          <w:b/>
        </w:rPr>
        <w:t>DinRa</w:t>
      </w:r>
      <w:proofErr w:type="spellEnd"/>
      <w:r w:rsidR="00EB5698" w:rsidRPr="008D45D8"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2"/>
        <w:gridCol w:w="4086"/>
      </w:tblGrid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0C6A43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  <w:r w:rsidR="00FC3792">
              <w:rPr>
                <w:rFonts w:ascii="Arial" w:hAnsi="Arial" w:cs="Arial"/>
              </w:rPr>
              <w:t>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3B06BA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Aluminium</w:t>
            </w:r>
            <w:r w:rsidR="00225012" w:rsidRPr="008D45D8">
              <w:rPr>
                <w:rFonts w:ascii="Arial" w:hAnsi="Arial" w:cs="Arial"/>
              </w:rPr>
              <w:t xml:space="preserve"> 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3B06BA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verfügbare Breiten des Längenprofils: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3B06BA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B=30, 40, 50, 60, 80 oder 100 mm.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3B06BA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und Tiefe: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3B06BA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beliebig festgelegt werden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3B06BA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Frontplattenstärke: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Default="00873AE2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504D0">
              <w:rPr>
                <w:rFonts w:ascii="Arial" w:hAnsi="Arial" w:cs="Arial"/>
              </w:rPr>
              <w:t xml:space="preserve">ur </w:t>
            </w:r>
            <w:r w:rsidR="003B06BA">
              <w:rPr>
                <w:rFonts w:ascii="Arial" w:hAnsi="Arial" w:cs="Arial"/>
              </w:rPr>
              <w:t>2,0mm</w:t>
            </w:r>
            <w:r w:rsidR="005504D0">
              <w:rPr>
                <w:rFonts w:ascii="Arial" w:hAnsi="Arial" w:cs="Arial"/>
              </w:rPr>
              <w:t xml:space="preserve"> möglich</w:t>
            </w:r>
            <w:r w:rsidR="003B06BA">
              <w:rPr>
                <w:rFonts w:ascii="Arial" w:hAnsi="Arial" w:cs="Arial"/>
              </w:rPr>
              <w:t xml:space="preserve"> (</w:t>
            </w:r>
            <w:r w:rsidR="005504D0">
              <w:rPr>
                <w:rFonts w:ascii="Arial" w:hAnsi="Arial" w:cs="Arial"/>
              </w:rPr>
              <w:t xml:space="preserve"> wegen </w:t>
            </w:r>
            <w:r w:rsidR="003B06BA">
              <w:rPr>
                <w:rFonts w:ascii="Arial" w:hAnsi="Arial" w:cs="Arial"/>
              </w:rPr>
              <w:t>Eckstück)</w:t>
            </w:r>
          </w:p>
        </w:tc>
      </w:tr>
      <w:tr w:rsidR="00FC3792" w:rsidRPr="008D45D8" w:rsidTr="00225012">
        <w:tc>
          <w:tcPr>
            <w:tcW w:w="3952" w:type="dxa"/>
            <w:tcBorders>
              <w:left w:val="nil"/>
            </w:tcBorders>
          </w:tcPr>
          <w:p w:rsidR="00FC3792" w:rsidRDefault="003B06BA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Rückplatte:</w:t>
            </w:r>
          </w:p>
        </w:tc>
        <w:tc>
          <w:tcPr>
            <w:tcW w:w="4086" w:type="dxa"/>
            <w:tcBorders>
              <w:right w:val="nil"/>
            </w:tcBorders>
          </w:tcPr>
          <w:p w:rsidR="003B06BA" w:rsidRDefault="003B06BA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Stärke möglich (Standard 2,0mm)</w:t>
            </w:r>
          </w:p>
        </w:tc>
      </w:tr>
      <w:tr w:rsidR="003B06BA" w:rsidRPr="008D45D8" w:rsidTr="00225012">
        <w:tc>
          <w:tcPr>
            <w:tcW w:w="3952" w:type="dxa"/>
            <w:tcBorders>
              <w:left w:val="nil"/>
            </w:tcBorders>
          </w:tcPr>
          <w:p w:rsidR="003B06BA" w:rsidRDefault="003B06BA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Seitenplatte:</w:t>
            </w:r>
          </w:p>
        </w:tc>
        <w:tc>
          <w:tcPr>
            <w:tcW w:w="4086" w:type="dxa"/>
            <w:tcBorders>
              <w:right w:val="nil"/>
            </w:tcBorders>
          </w:tcPr>
          <w:p w:rsidR="003B06BA" w:rsidRDefault="003B06BA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1,5; 2,0; 2,5; </w:t>
            </w:r>
            <w:r w:rsidR="003C61F4">
              <w:rPr>
                <w:rFonts w:ascii="Arial" w:hAnsi="Arial" w:cs="Arial"/>
              </w:rPr>
              <w:t>3,0mm möglich</w:t>
            </w:r>
          </w:p>
        </w:tc>
      </w:tr>
      <w:tr w:rsidR="003B06BA" w:rsidRPr="008D45D8" w:rsidTr="00225012">
        <w:tc>
          <w:tcPr>
            <w:tcW w:w="3952" w:type="dxa"/>
            <w:tcBorders>
              <w:left w:val="nil"/>
            </w:tcBorders>
          </w:tcPr>
          <w:p w:rsidR="003B06BA" w:rsidRDefault="003C61F4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Standardausführung:</w:t>
            </w:r>
          </w:p>
        </w:tc>
        <w:tc>
          <w:tcPr>
            <w:tcW w:w="4086" w:type="dxa"/>
            <w:tcBorders>
              <w:right w:val="nil"/>
            </w:tcBorders>
          </w:tcPr>
          <w:p w:rsidR="003B06BA" w:rsidRDefault="003C61F4" w:rsidP="00A372B9">
            <w:pPr>
              <w:pStyle w:val="Listenabsatz"/>
              <w:numPr>
                <w:ilvl w:val="0"/>
                <w:numId w:val="4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Oberfläche eloxiert (Schnittkanten blank)</w:t>
            </w:r>
          </w:p>
          <w:p w:rsidR="003C61F4" w:rsidRPr="003C61F4" w:rsidRDefault="003C61F4" w:rsidP="00A372B9">
            <w:pPr>
              <w:pStyle w:val="Listenabsatz"/>
              <w:numPr>
                <w:ilvl w:val="0"/>
                <w:numId w:val="4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kundenspezifische Bearbeitung möglich</w:t>
            </w:r>
          </w:p>
        </w:tc>
      </w:tr>
      <w:tr w:rsidR="003C61F4" w:rsidRPr="008D45D8" w:rsidTr="00225012">
        <w:tc>
          <w:tcPr>
            <w:tcW w:w="3952" w:type="dxa"/>
            <w:tcBorders>
              <w:left w:val="nil"/>
            </w:tcBorders>
          </w:tcPr>
          <w:p w:rsidR="003C61F4" w:rsidRDefault="003C61F4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Möglichkeiten: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Default="003C61F4" w:rsidP="00A372B9">
            <w:pPr>
              <w:pStyle w:val="Listenabsatz"/>
              <w:numPr>
                <w:ilvl w:val="0"/>
                <w:numId w:val="4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roh oder lackiert</w:t>
            </w:r>
          </w:p>
          <w:p w:rsidR="003C61F4" w:rsidRDefault="00273B79" w:rsidP="00A372B9">
            <w:pPr>
              <w:pStyle w:val="Listenabsatz"/>
              <w:numPr>
                <w:ilvl w:val="0"/>
                <w:numId w:val="4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EMV-Ausführung / </w:t>
            </w:r>
            <w:proofErr w:type="spellStart"/>
            <w:r>
              <w:rPr>
                <w:rFonts w:ascii="Arial" w:hAnsi="Arial" w:cs="Arial"/>
              </w:rPr>
              <w:t>chromatiert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="003C61F4">
              <w:rPr>
                <w:rFonts w:ascii="Arial" w:hAnsi="Arial" w:cs="Arial"/>
              </w:rPr>
              <w:t>lackiert</w:t>
            </w:r>
          </w:p>
        </w:tc>
      </w:tr>
    </w:tbl>
    <w:p w:rsidR="00DA541C" w:rsidRDefault="00DA541C" w:rsidP="001E0B92">
      <w:pPr>
        <w:spacing w:after="0" w:line="240" w:lineRule="auto"/>
        <w:rPr>
          <w:rFonts w:ascii="Arial" w:hAnsi="Arial" w:cs="Arial"/>
        </w:rPr>
      </w:pPr>
    </w:p>
    <w:p w:rsidR="003C61F4" w:rsidRDefault="003C61F4" w:rsidP="001E0B92">
      <w:pPr>
        <w:spacing w:after="0" w:line="240" w:lineRule="auto"/>
        <w:rPr>
          <w:rFonts w:ascii="Arial" w:hAnsi="Arial" w:cs="Arial"/>
        </w:rPr>
      </w:pPr>
    </w:p>
    <w:p w:rsidR="00486A0A" w:rsidRDefault="00486A0A" w:rsidP="001E0B92">
      <w:pPr>
        <w:spacing w:after="0" w:line="240" w:lineRule="auto"/>
        <w:rPr>
          <w:rFonts w:ascii="Arial" w:hAnsi="Arial" w:cs="Arial"/>
        </w:rPr>
      </w:pPr>
    </w:p>
    <w:p w:rsidR="003C61F4" w:rsidRPr="005D3ED5" w:rsidRDefault="003C61F4" w:rsidP="003C61F4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  <w:b/>
        </w:rPr>
        <w:t>Technische Daten</w:t>
      </w:r>
      <w:r w:rsidR="00DC167D">
        <w:rPr>
          <w:rFonts w:ascii="Arial" w:hAnsi="Arial" w:cs="Arial"/>
          <w:b/>
        </w:rPr>
        <w:t xml:space="preserve"> ALU-ECOPAC-</w:t>
      </w:r>
      <w:proofErr w:type="spellStart"/>
      <w:r w:rsidR="00DC167D">
        <w:rPr>
          <w:rFonts w:ascii="Arial" w:hAnsi="Arial" w:cs="Arial"/>
          <w:b/>
        </w:rPr>
        <w:t>DinRa</w:t>
      </w:r>
      <w:proofErr w:type="spellEnd"/>
      <w:r w:rsidRPr="008D45D8"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2"/>
        <w:gridCol w:w="4086"/>
      </w:tblGrid>
      <w:tr w:rsidR="003C61F4" w:rsidRPr="008D45D8" w:rsidTr="00BC02C2">
        <w:tc>
          <w:tcPr>
            <w:tcW w:w="3952" w:type="dxa"/>
            <w:tcBorders>
              <w:left w:val="nil"/>
            </w:tcBorders>
          </w:tcPr>
          <w:p w:rsidR="003C61F4" w:rsidRPr="008D45D8" w:rsidRDefault="003C61F4" w:rsidP="00BC02C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Pr="008D45D8" w:rsidRDefault="003C61F4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Aluminium</w:t>
            </w:r>
            <w:r w:rsidRPr="008D45D8">
              <w:rPr>
                <w:rFonts w:ascii="Arial" w:hAnsi="Arial" w:cs="Arial"/>
              </w:rPr>
              <w:t xml:space="preserve"> </w:t>
            </w:r>
          </w:p>
        </w:tc>
      </w:tr>
      <w:tr w:rsidR="003C61F4" w:rsidRPr="008D45D8" w:rsidTr="00BC02C2">
        <w:tc>
          <w:tcPr>
            <w:tcW w:w="3952" w:type="dxa"/>
            <w:tcBorders>
              <w:left w:val="nil"/>
            </w:tcBorders>
          </w:tcPr>
          <w:p w:rsidR="003C61F4" w:rsidRPr="008D45D8" w:rsidRDefault="003C61F4" w:rsidP="00BC02C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verfügbare Breiten des Längenprofils: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Pr="008D45D8" w:rsidRDefault="003C61F4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B=30, 40, 50, 60, 80 oder 100 mm.</w:t>
            </w:r>
          </w:p>
        </w:tc>
      </w:tr>
      <w:tr w:rsidR="003C61F4" w:rsidRPr="008D45D8" w:rsidTr="00BC02C2">
        <w:tc>
          <w:tcPr>
            <w:tcW w:w="3952" w:type="dxa"/>
            <w:tcBorders>
              <w:left w:val="nil"/>
            </w:tcBorders>
          </w:tcPr>
          <w:p w:rsidR="003C61F4" w:rsidRPr="008D45D8" w:rsidRDefault="003C61F4" w:rsidP="00BC02C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und Tiefe: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Pr="008D45D8" w:rsidRDefault="003C61F4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beliebig festgelegt werden</w:t>
            </w:r>
          </w:p>
        </w:tc>
      </w:tr>
      <w:tr w:rsidR="003C61F4" w:rsidRPr="008D45D8" w:rsidTr="00BC02C2">
        <w:tc>
          <w:tcPr>
            <w:tcW w:w="3952" w:type="dxa"/>
            <w:tcBorders>
              <w:left w:val="nil"/>
            </w:tcBorders>
          </w:tcPr>
          <w:p w:rsidR="003C61F4" w:rsidRPr="008D45D8" w:rsidRDefault="003C61F4" w:rsidP="00BC02C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Frontplattenstärke: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Default="005504D0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2,0mm, weitere möglich</w:t>
            </w:r>
          </w:p>
        </w:tc>
      </w:tr>
      <w:tr w:rsidR="003C61F4" w:rsidRPr="008D45D8" w:rsidTr="00BC02C2">
        <w:tc>
          <w:tcPr>
            <w:tcW w:w="3952" w:type="dxa"/>
            <w:tcBorders>
              <w:left w:val="nil"/>
            </w:tcBorders>
          </w:tcPr>
          <w:p w:rsidR="003C61F4" w:rsidRDefault="003C61F4" w:rsidP="00BC02C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Rückplatte: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Default="003C61F4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Stärke möglich (Standard 2,0mm)</w:t>
            </w:r>
          </w:p>
        </w:tc>
      </w:tr>
      <w:tr w:rsidR="003C61F4" w:rsidRPr="008D45D8" w:rsidTr="00BC02C2">
        <w:tc>
          <w:tcPr>
            <w:tcW w:w="3952" w:type="dxa"/>
            <w:tcBorders>
              <w:left w:val="nil"/>
            </w:tcBorders>
          </w:tcPr>
          <w:p w:rsidR="003C61F4" w:rsidRDefault="003C61F4" w:rsidP="00BC02C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Seitenplatte: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Default="003C61F4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1,5; 2,0; 2,5; 3,0mm möglich</w:t>
            </w:r>
          </w:p>
        </w:tc>
      </w:tr>
      <w:tr w:rsidR="003C61F4" w:rsidRPr="008D45D8" w:rsidTr="00BC02C2">
        <w:tc>
          <w:tcPr>
            <w:tcW w:w="3952" w:type="dxa"/>
            <w:tcBorders>
              <w:left w:val="nil"/>
            </w:tcBorders>
          </w:tcPr>
          <w:p w:rsidR="003C61F4" w:rsidRDefault="003C61F4" w:rsidP="00BC02C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Standardausführung: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Default="00A372B9" w:rsidP="00A372B9">
            <w:pPr>
              <w:pStyle w:val="Listenabsatz"/>
              <w:numPr>
                <w:ilvl w:val="0"/>
                <w:numId w:val="4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Oberfläche </w:t>
            </w:r>
            <w:r w:rsidR="003C61F4">
              <w:rPr>
                <w:rFonts w:ascii="Arial" w:hAnsi="Arial" w:cs="Arial"/>
              </w:rPr>
              <w:t>eloxiert (Schnittkanten blank)</w:t>
            </w:r>
          </w:p>
          <w:p w:rsidR="003C61F4" w:rsidRPr="003C61F4" w:rsidRDefault="003C61F4" w:rsidP="00A372B9">
            <w:pPr>
              <w:pStyle w:val="Listenabsatz"/>
              <w:numPr>
                <w:ilvl w:val="0"/>
                <w:numId w:val="4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kundenspezifische Bearbeitung möglich</w:t>
            </w:r>
          </w:p>
        </w:tc>
      </w:tr>
      <w:tr w:rsidR="003C61F4" w:rsidRPr="008D45D8" w:rsidTr="00BC02C2">
        <w:tc>
          <w:tcPr>
            <w:tcW w:w="3952" w:type="dxa"/>
            <w:tcBorders>
              <w:left w:val="nil"/>
            </w:tcBorders>
          </w:tcPr>
          <w:p w:rsidR="003C61F4" w:rsidRDefault="003C61F4" w:rsidP="00BC02C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Möglichkeiten: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Default="003C61F4" w:rsidP="00A372B9">
            <w:pPr>
              <w:pStyle w:val="Listenabsatz"/>
              <w:numPr>
                <w:ilvl w:val="0"/>
                <w:numId w:val="4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roh oder lackiert</w:t>
            </w:r>
          </w:p>
          <w:p w:rsidR="003C61F4" w:rsidRDefault="003C61F4" w:rsidP="00A372B9">
            <w:pPr>
              <w:pStyle w:val="Listenabsatz"/>
              <w:numPr>
                <w:ilvl w:val="0"/>
                <w:numId w:val="4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EMV-Ausführung / </w:t>
            </w:r>
            <w:proofErr w:type="spellStart"/>
            <w:r>
              <w:rPr>
                <w:rFonts w:ascii="Arial" w:hAnsi="Arial" w:cs="Arial"/>
              </w:rPr>
              <w:t>chromatiert</w:t>
            </w:r>
            <w:proofErr w:type="spellEnd"/>
            <w:r w:rsidR="00273B79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lackiert</w:t>
            </w:r>
          </w:p>
        </w:tc>
      </w:tr>
    </w:tbl>
    <w:p w:rsidR="003C61F4" w:rsidRDefault="003C61F4" w:rsidP="001E0B92">
      <w:pPr>
        <w:spacing w:after="0" w:line="240" w:lineRule="auto"/>
        <w:rPr>
          <w:rFonts w:ascii="Arial" w:hAnsi="Arial" w:cs="Arial"/>
        </w:rPr>
      </w:pPr>
    </w:p>
    <w:p w:rsidR="001D1327" w:rsidRPr="00596BE0" w:rsidRDefault="001D1327" w:rsidP="00596BE0">
      <w:pPr>
        <w:spacing w:after="0" w:line="240" w:lineRule="auto"/>
        <w:rPr>
          <w:rStyle w:val="Hyperlink"/>
          <w:b w:val="0"/>
          <w:bCs w:val="0"/>
          <w:color w:val="auto"/>
          <w:sz w:val="22"/>
          <w:szCs w:val="22"/>
        </w:rPr>
      </w:pPr>
      <w:r w:rsidRPr="001D1327">
        <w:rPr>
          <w:rFonts w:ascii="Arial" w:hAnsi="Arial" w:cs="Arial"/>
        </w:rPr>
        <w:t>Weitere Informatio</w:t>
      </w:r>
      <w:r w:rsidR="00DA541C">
        <w:rPr>
          <w:rFonts w:ascii="Arial" w:hAnsi="Arial" w:cs="Arial"/>
        </w:rPr>
        <w:t>nen</w:t>
      </w:r>
      <w:r w:rsidR="00214830">
        <w:rPr>
          <w:rFonts w:ascii="Arial" w:hAnsi="Arial" w:cs="Arial"/>
        </w:rPr>
        <w:t xml:space="preserve"> und das passende Zubehör</w:t>
      </w:r>
      <w:r w:rsidR="00DA541C">
        <w:rPr>
          <w:rFonts w:ascii="Arial" w:hAnsi="Arial" w:cs="Arial"/>
        </w:rPr>
        <w:t xml:space="preserve"> unter </w:t>
      </w:r>
      <w:r w:rsidR="00E03270">
        <w:rPr>
          <w:rFonts w:ascii="Arial" w:hAnsi="Arial" w:cs="Arial"/>
        </w:rPr>
        <w:t>Aluminiumg</w:t>
      </w:r>
      <w:r w:rsidR="003C61F4">
        <w:rPr>
          <w:rFonts w:ascii="Arial" w:hAnsi="Arial" w:cs="Arial"/>
        </w:rPr>
        <w:t>ehäuse</w:t>
      </w:r>
      <w:r w:rsidR="00DA541C">
        <w:rPr>
          <w:rFonts w:ascii="Arial" w:hAnsi="Arial" w:cs="Arial"/>
        </w:rPr>
        <w:t xml:space="preserve"> – </w:t>
      </w:r>
      <w:r w:rsidR="003C61F4">
        <w:rPr>
          <w:rFonts w:ascii="Arial" w:hAnsi="Arial" w:cs="Arial"/>
        </w:rPr>
        <w:t>Hutschienengehäuse</w:t>
      </w:r>
      <w:r w:rsidR="00596BE0">
        <w:rPr>
          <w:rFonts w:ascii="Arial" w:hAnsi="Arial" w:cs="Arial"/>
        </w:rPr>
        <w:t xml:space="preserve"> </w:t>
      </w:r>
      <w:r w:rsidR="00DA541C">
        <w:rPr>
          <w:rFonts w:ascii="Arial" w:hAnsi="Arial" w:cs="Arial"/>
        </w:rPr>
        <w:t xml:space="preserve">auf </w:t>
      </w:r>
      <w:r w:rsidR="00596BE0">
        <w:rPr>
          <w:rFonts w:ascii="Arial" w:hAnsi="Arial" w:cs="Arial"/>
        </w:rPr>
        <w:t xml:space="preserve"> </w:t>
      </w:r>
      <w:hyperlink r:id="rId9" w:history="1">
        <w:r w:rsidR="00DA541C" w:rsidRPr="005D07BE">
          <w:rPr>
            <w:rStyle w:val="Hyperlink"/>
            <w:b w:val="0"/>
            <w:color w:val="009DA2"/>
            <w:sz w:val="22"/>
            <w:szCs w:val="22"/>
          </w:rPr>
          <w:t>www.industriegehaeuse.de</w:t>
        </w:r>
      </w:hyperlink>
    </w:p>
    <w:p w:rsidR="00DA541C" w:rsidRPr="00D03F80" w:rsidRDefault="00DA541C" w:rsidP="001D1327">
      <w:pPr>
        <w:spacing w:after="0"/>
        <w:jc w:val="both"/>
        <w:rPr>
          <w:rFonts w:ascii="Arial" w:hAnsi="Arial" w:cs="Arial"/>
        </w:rPr>
      </w:pP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>nternehmen</w:t>
      </w:r>
      <w:r w:rsidR="003968D0">
        <w:rPr>
          <w:rFonts w:ascii="Arial" w:hAnsi="Arial" w:cs="Arial"/>
        </w:rPr>
        <w:t xml:space="preserve"> im Nordschwarzwald. Mit über 90</w:t>
      </w:r>
      <w:r w:rsidRPr="008D45D8">
        <w:rPr>
          <w:rFonts w:ascii="Arial" w:hAnsi="Arial" w:cs="Arial"/>
        </w:rPr>
        <w:t xml:space="preserve"> Mitarbeitern entwickelt, </w:t>
      </w:r>
      <w:r w:rsidR="00E140B1" w:rsidRPr="008D45D8">
        <w:rPr>
          <w:rFonts w:ascii="Arial" w:hAnsi="Arial" w:cs="Arial"/>
        </w:rPr>
        <w:t>fertigt</w:t>
      </w:r>
      <w:r w:rsidRPr="008D45D8">
        <w:rPr>
          <w:rFonts w:ascii="Arial" w:hAnsi="Arial" w:cs="Arial"/>
        </w:rPr>
        <w:t xml:space="preserve">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</w:t>
      </w:r>
      <w:r w:rsidR="00DA541C">
        <w:rPr>
          <w:rFonts w:ascii="Arial" w:hAnsi="Arial" w:cs="Arial"/>
        </w:rPr>
        <w:t xml:space="preserve">riekomponenten für die Bereiche </w:t>
      </w:r>
      <w:r w:rsidR="001910B5" w:rsidRPr="008D45D8">
        <w:rPr>
          <w:rFonts w:ascii="Arial" w:hAnsi="Arial" w:cs="Arial"/>
        </w:rPr>
        <w:t xml:space="preserve">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8D45D8" w:rsidRDefault="00193AFE" w:rsidP="008D45D8">
      <w:pPr>
        <w:spacing w:after="0"/>
        <w:jc w:val="both"/>
        <w:rPr>
          <w:rFonts w:ascii="Arial" w:hAnsi="Arial" w:cs="Arial"/>
        </w:rPr>
      </w:pPr>
    </w:p>
    <w:p w:rsidR="00225012" w:rsidRPr="00225012" w:rsidRDefault="001910B5" w:rsidP="00EB5698">
      <w:pPr>
        <w:spacing w:after="0" w:line="360" w:lineRule="auto"/>
        <w:contextualSpacing/>
        <w:jc w:val="both"/>
        <w:rPr>
          <w:rStyle w:val="Hyperlink"/>
          <w:b w:val="0"/>
          <w:bCs w:val="0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0" w:history="1">
        <w:r w:rsidR="00552848" w:rsidRPr="00FD2BCA">
          <w:rPr>
            <w:rStyle w:val="Hyperlink"/>
            <w:color w:val="009DA2"/>
            <w:sz w:val="22"/>
            <w:szCs w:val="22"/>
          </w:rPr>
          <w:t>http://</w:t>
        </w:r>
      </w:hyperlink>
      <w:r w:rsidR="00225012">
        <w:rPr>
          <w:rStyle w:val="Hyperlink"/>
          <w:color w:val="009DA2"/>
          <w:sz w:val="22"/>
          <w:szCs w:val="22"/>
        </w:rPr>
        <w:t>www.woehrgmbh.de/de/aktuelles</w:t>
      </w:r>
      <w:r w:rsidR="00702DFB">
        <w:rPr>
          <w:rStyle w:val="Hyperlink"/>
          <w:color w:val="009DA2"/>
          <w:sz w:val="22"/>
          <w:szCs w:val="22"/>
        </w:rPr>
        <w:t>-presse/pressecenter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4" w:rsidRDefault="00F148A4" w:rsidP="003C1C57">
      <w:pPr>
        <w:spacing w:after="0" w:line="240" w:lineRule="auto"/>
      </w:pPr>
      <w:r>
        <w:separator/>
      </w:r>
    </w:p>
  </w:endnote>
  <w:end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4" w:rsidRDefault="00F148A4" w:rsidP="003C1C57">
      <w:pPr>
        <w:spacing w:after="0" w:line="240" w:lineRule="auto"/>
      </w:pPr>
      <w:r>
        <w:separator/>
      </w:r>
    </w:p>
  </w:footnote>
  <w:foot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DB4"/>
    <w:multiLevelType w:val="hybridMultilevel"/>
    <w:tmpl w:val="C3A06210"/>
    <w:lvl w:ilvl="0" w:tplc="01E4C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arina Elsner">
    <w15:presenceInfo w15:providerId="AD" w15:userId="S-1-5-21-1414366876-1075460351-1585793234-3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5D7B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4A80"/>
    <w:rsid w:val="000C31C3"/>
    <w:rsid w:val="000C503B"/>
    <w:rsid w:val="000C53E0"/>
    <w:rsid w:val="000C53F7"/>
    <w:rsid w:val="000C5C40"/>
    <w:rsid w:val="000C6A43"/>
    <w:rsid w:val="000D2643"/>
    <w:rsid w:val="000D5567"/>
    <w:rsid w:val="000E6D3D"/>
    <w:rsid w:val="00106DB4"/>
    <w:rsid w:val="0011464F"/>
    <w:rsid w:val="00117277"/>
    <w:rsid w:val="0012777C"/>
    <w:rsid w:val="00127BA5"/>
    <w:rsid w:val="00141220"/>
    <w:rsid w:val="001469D2"/>
    <w:rsid w:val="00162154"/>
    <w:rsid w:val="001644D0"/>
    <w:rsid w:val="00166445"/>
    <w:rsid w:val="001677A3"/>
    <w:rsid w:val="00182759"/>
    <w:rsid w:val="001836AF"/>
    <w:rsid w:val="00184C7E"/>
    <w:rsid w:val="00190040"/>
    <w:rsid w:val="001910B5"/>
    <w:rsid w:val="00191AA8"/>
    <w:rsid w:val="00193AFE"/>
    <w:rsid w:val="001C4826"/>
    <w:rsid w:val="001D1327"/>
    <w:rsid w:val="001E0B92"/>
    <w:rsid w:val="001E2027"/>
    <w:rsid w:val="001E5225"/>
    <w:rsid w:val="001F24BD"/>
    <w:rsid w:val="001F4D8E"/>
    <w:rsid w:val="00205956"/>
    <w:rsid w:val="002073E0"/>
    <w:rsid w:val="002127F1"/>
    <w:rsid w:val="00214830"/>
    <w:rsid w:val="00215694"/>
    <w:rsid w:val="00222D11"/>
    <w:rsid w:val="00225012"/>
    <w:rsid w:val="002266DF"/>
    <w:rsid w:val="00267829"/>
    <w:rsid w:val="0027129D"/>
    <w:rsid w:val="00273B79"/>
    <w:rsid w:val="00277615"/>
    <w:rsid w:val="002A0EF9"/>
    <w:rsid w:val="002A36BB"/>
    <w:rsid w:val="002D3800"/>
    <w:rsid w:val="002E54EE"/>
    <w:rsid w:val="002E7A78"/>
    <w:rsid w:val="002F543D"/>
    <w:rsid w:val="0030328B"/>
    <w:rsid w:val="003078BA"/>
    <w:rsid w:val="0032151B"/>
    <w:rsid w:val="0032342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705CE"/>
    <w:rsid w:val="00373180"/>
    <w:rsid w:val="0038434F"/>
    <w:rsid w:val="0038777F"/>
    <w:rsid w:val="00394180"/>
    <w:rsid w:val="003961EC"/>
    <w:rsid w:val="003968D0"/>
    <w:rsid w:val="003A0A2B"/>
    <w:rsid w:val="003A4F1C"/>
    <w:rsid w:val="003B06BA"/>
    <w:rsid w:val="003C1AD6"/>
    <w:rsid w:val="003C1C57"/>
    <w:rsid w:val="003C61F4"/>
    <w:rsid w:val="003E17E1"/>
    <w:rsid w:val="003F32B9"/>
    <w:rsid w:val="003F6F61"/>
    <w:rsid w:val="00414387"/>
    <w:rsid w:val="004145B8"/>
    <w:rsid w:val="004149AC"/>
    <w:rsid w:val="004152C5"/>
    <w:rsid w:val="00424EB6"/>
    <w:rsid w:val="00425DD3"/>
    <w:rsid w:val="00426728"/>
    <w:rsid w:val="00434979"/>
    <w:rsid w:val="00435162"/>
    <w:rsid w:val="00435C86"/>
    <w:rsid w:val="00453F96"/>
    <w:rsid w:val="00476C46"/>
    <w:rsid w:val="00486A0A"/>
    <w:rsid w:val="0049475E"/>
    <w:rsid w:val="0049500A"/>
    <w:rsid w:val="004A2DE5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414BA"/>
    <w:rsid w:val="005504D0"/>
    <w:rsid w:val="005520CA"/>
    <w:rsid w:val="00552848"/>
    <w:rsid w:val="00553689"/>
    <w:rsid w:val="00560426"/>
    <w:rsid w:val="0056181E"/>
    <w:rsid w:val="00566160"/>
    <w:rsid w:val="0057153A"/>
    <w:rsid w:val="005718E5"/>
    <w:rsid w:val="00573485"/>
    <w:rsid w:val="00585E3C"/>
    <w:rsid w:val="0059015F"/>
    <w:rsid w:val="00592105"/>
    <w:rsid w:val="00596BE0"/>
    <w:rsid w:val="005A20AD"/>
    <w:rsid w:val="005B501A"/>
    <w:rsid w:val="005C337A"/>
    <w:rsid w:val="005D07BE"/>
    <w:rsid w:val="005D11F3"/>
    <w:rsid w:val="005D3ED5"/>
    <w:rsid w:val="005D3FD1"/>
    <w:rsid w:val="005D44FA"/>
    <w:rsid w:val="005E28F3"/>
    <w:rsid w:val="005E3421"/>
    <w:rsid w:val="005E3DD6"/>
    <w:rsid w:val="005F062D"/>
    <w:rsid w:val="005F3F94"/>
    <w:rsid w:val="006108FF"/>
    <w:rsid w:val="006375FB"/>
    <w:rsid w:val="00651847"/>
    <w:rsid w:val="00652A8F"/>
    <w:rsid w:val="00662FAF"/>
    <w:rsid w:val="00663F67"/>
    <w:rsid w:val="006643B2"/>
    <w:rsid w:val="00667B6C"/>
    <w:rsid w:val="00671E28"/>
    <w:rsid w:val="00673DCA"/>
    <w:rsid w:val="0067472F"/>
    <w:rsid w:val="00683B91"/>
    <w:rsid w:val="006C26EE"/>
    <w:rsid w:val="006C2E57"/>
    <w:rsid w:val="006E55A4"/>
    <w:rsid w:val="00702DFB"/>
    <w:rsid w:val="00723E2A"/>
    <w:rsid w:val="00724DD8"/>
    <w:rsid w:val="00730F8A"/>
    <w:rsid w:val="0073734C"/>
    <w:rsid w:val="00745DED"/>
    <w:rsid w:val="00746628"/>
    <w:rsid w:val="007538ED"/>
    <w:rsid w:val="00753B6F"/>
    <w:rsid w:val="0076117E"/>
    <w:rsid w:val="007625C8"/>
    <w:rsid w:val="00763247"/>
    <w:rsid w:val="007649A4"/>
    <w:rsid w:val="00766A07"/>
    <w:rsid w:val="00773096"/>
    <w:rsid w:val="007744E2"/>
    <w:rsid w:val="007753D8"/>
    <w:rsid w:val="007831CC"/>
    <w:rsid w:val="0079032B"/>
    <w:rsid w:val="00792495"/>
    <w:rsid w:val="0079579F"/>
    <w:rsid w:val="007A4339"/>
    <w:rsid w:val="007B2E36"/>
    <w:rsid w:val="007C3447"/>
    <w:rsid w:val="007C4EA3"/>
    <w:rsid w:val="007C7867"/>
    <w:rsid w:val="007D16F5"/>
    <w:rsid w:val="007D2284"/>
    <w:rsid w:val="007D55E5"/>
    <w:rsid w:val="007D6803"/>
    <w:rsid w:val="007E2AB3"/>
    <w:rsid w:val="007E7AE5"/>
    <w:rsid w:val="0082136F"/>
    <w:rsid w:val="008554E3"/>
    <w:rsid w:val="008728D7"/>
    <w:rsid w:val="00873AE2"/>
    <w:rsid w:val="0088233A"/>
    <w:rsid w:val="00891486"/>
    <w:rsid w:val="008960A1"/>
    <w:rsid w:val="008A3CAB"/>
    <w:rsid w:val="008B1FB7"/>
    <w:rsid w:val="008B669E"/>
    <w:rsid w:val="008C18C6"/>
    <w:rsid w:val="008C1FD2"/>
    <w:rsid w:val="008C5A58"/>
    <w:rsid w:val="008C707D"/>
    <w:rsid w:val="008D45D8"/>
    <w:rsid w:val="008D4E0D"/>
    <w:rsid w:val="008D59E4"/>
    <w:rsid w:val="008E016E"/>
    <w:rsid w:val="008F063F"/>
    <w:rsid w:val="008F46A2"/>
    <w:rsid w:val="008F4B92"/>
    <w:rsid w:val="008F5FE4"/>
    <w:rsid w:val="00921E69"/>
    <w:rsid w:val="00927297"/>
    <w:rsid w:val="009327A1"/>
    <w:rsid w:val="00942E77"/>
    <w:rsid w:val="00953150"/>
    <w:rsid w:val="00960299"/>
    <w:rsid w:val="0097767F"/>
    <w:rsid w:val="009A1138"/>
    <w:rsid w:val="009B6B4A"/>
    <w:rsid w:val="009B710F"/>
    <w:rsid w:val="009C5499"/>
    <w:rsid w:val="009C64CD"/>
    <w:rsid w:val="009E59F6"/>
    <w:rsid w:val="009F4F47"/>
    <w:rsid w:val="009F7E59"/>
    <w:rsid w:val="00A0091B"/>
    <w:rsid w:val="00A06376"/>
    <w:rsid w:val="00A372B9"/>
    <w:rsid w:val="00A521A4"/>
    <w:rsid w:val="00A73E52"/>
    <w:rsid w:val="00A815ED"/>
    <w:rsid w:val="00A86B00"/>
    <w:rsid w:val="00A874A1"/>
    <w:rsid w:val="00A95460"/>
    <w:rsid w:val="00AA5D7F"/>
    <w:rsid w:val="00AD169B"/>
    <w:rsid w:val="00AF2058"/>
    <w:rsid w:val="00AF70D9"/>
    <w:rsid w:val="00AF7D64"/>
    <w:rsid w:val="00B10086"/>
    <w:rsid w:val="00B1104F"/>
    <w:rsid w:val="00B16CA2"/>
    <w:rsid w:val="00B17EF2"/>
    <w:rsid w:val="00B367A1"/>
    <w:rsid w:val="00B406E2"/>
    <w:rsid w:val="00B6309D"/>
    <w:rsid w:val="00B638AD"/>
    <w:rsid w:val="00B74941"/>
    <w:rsid w:val="00B757AB"/>
    <w:rsid w:val="00B956F7"/>
    <w:rsid w:val="00B9658D"/>
    <w:rsid w:val="00BA13D2"/>
    <w:rsid w:val="00BA218B"/>
    <w:rsid w:val="00BA5C11"/>
    <w:rsid w:val="00BC0650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2948"/>
    <w:rsid w:val="00C33408"/>
    <w:rsid w:val="00C546F7"/>
    <w:rsid w:val="00C579C1"/>
    <w:rsid w:val="00C61854"/>
    <w:rsid w:val="00C83289"/>
    <w:rsid w:val="00C86E55"/>
    <w:rsid w:val="00CA5188"/>
    <w:rsid w:val="00CC2766"/>
    <w:rsid w:val="00CC5172"/>
    <w:rsid w:val="00CE278B"/>
    <w:rsid w:val="00CE2F37"/>
    <w:rsid w:val="00CF2680"/>
    <w:rsid w:val="00CF3A61"/>
    <w:rsid w:val="00CF6616"/>
    <w:rsid w:val="00D03F80"/>
    <w:rsid w:val="00D07934"/>
    <w:rsid w:val="00D10BB7"/>
    <w:rsid w:val="00D120C4"/>
    <w:rsid w:val="00D3314B"/>
    <w:rsid w:val="00D506CF"/>
    <w:rsid w:val="00D60402"/>
    <w:rsid w:val="00D60845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A09BD"/>
    <w:rsid w:val="00DA0B82"/>
    <w:rsid w:val="00DA541C"/>
    <w:rsid w:val="00DB22C8"/>
    <w:rsid w:val="00DB4B0C"/>
    <w:rsid w:val="00DC167D"/>
    <w:rsid w:val="00DD3170"/>
    <w:rsid w:val="00DE0171"/>
    <w:rsid w:val="00DF564F"/>
    <w:rsid w:val="00E03270"/>
    <w:rsid w:val="00E05E6D"/>
    <w:rsid w:val="00E0649E"/>
    <w:rsid w:val="00E071DD"/>
    <w:rsid w:val="00E112C0"/>
    <w:rsid w:val="00E131C2"/>
    <w:rsid w:val="00E13B08"/>
    <w:rsid w:val="00E140B1"/>
    <w:rsid w:val="00E20CB4"/>
    <w:rsid w:val="00E218B0"/>
    <w:rsid w:val="00E23429"/>
    <w:rsid w:val="00E25323"/>
    <w:rsid w:val="00E2718F"/>
    <w:rsid w:val="00E371BE"/>
    <w:rsid w:val="00E37689"/>
    <w:rsid w:val="00E44917"/>
    <w:rsid w:val="00E51B8F"/>
    <w:rsid w:val="00E600E8"/>
    <w:rsid w:val="00E66FCC"/>
    <w:rsid w:val="00E71CEA"/>
    <w:rsid w:val="00E76F9D"/>
    <w:rsid w:val="00E77FB8"/>
    <w:rsid w:val="00E82DFC"/>
    <w:rsid w:val="00E84F4A"/>
    <w:rsid w:val="00E8657C"/>
    <w:rsid w:val="00E9083F"/>
    <w:rsid w:val="00E93D35"/>
    <w:rsid w:val="00E974A5"/>
    <w:rsid w:val="00EB5698"/>
    <w:rsid w:val="00ED449F"/>
    <w:rsid w:val="00EE5875"/>
    <w:rsid w:val="00F1457A"/>
    <w:rsid w:val="00F148A4"/>
    <w:rsid w:val="00F15DBE"/>
    <w:rsid w:val="00F21696"/>
    <w:rsid w:val="00F26768"/>
    <w:rsid w:val="00F36704"/>
    <w:rsid w:val="00F519CD"/>
    <w:rsid w:val="00F61B90"/>
    <w:rsid w:val="00F62D7F"/>
    <w:rsid w:val="00F65C79"/>
    <w:rsid w:val="00F7445F"/>
    <w:rsid w:val="00F75853"/>
    <w:rsid w:val="00F85C1D"/>
    <w:rsid w:val="00FB6760"/>
    <w:rsid w:val="00FC3792"/>
    <w:rsid w:val="00FC3FB2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ier@WoehrGmbH.d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WoehrGmbH.de/de/aktuelles-presse/pressecen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36BF-4B2F-44A1-814F-418C5338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34</cp:revision>
  <cp:lastPrinted>2017-03-20T14:40:00Z</cp:lastPrinted>
  <dcterms:created xsi:type="dcterms:W3CDTF">2017-03-14T10:33:00Z</dcterms:created>
  <dcterms:modified xsi:type="dcterms:W3CDTF">2017-03-20T14:41:00Z</dcterms:modified>
</cp:coreProperties>
</file>