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7D282C" w:rsidRDefault="003C1C57" w:rsidP="003C1C57">
      <w:pPr>
        <w:pStyle w:val="EinfacherAbsatz"/>
        <w:rPr>
          <w:rFonts w:ascii="Arial" w:hAnsi="Arial" w:cs="Arial"/>
          <w:b/>
          <w:spacing w:val="1"/>
          <w:sz w:val="22"/>
          <w:szCs w:val="22"/>
        </w:rPr>
      </w:pPr>
      <w:r w:rsidRPr="007D282C">
        <w:rPr>
          <w:rFonts w:ascii="Arial" w:hAnsi="Arial" w:cs="Arial"/>
          <w:b/>
          <w:spacing w:val="59"/>
          <w:sz w:val="22"/>
          <w:szCs w:val="22"/>
        </w:rPr>
        <w:t>PRESSEMELDUNG</w:t>
      </w:r>
      <w:r w:rsidRPr="007D282C">
        <w:rPr>
          <w:rFonts w:ascii="Arial" w:hAnsi="Arial" w:cs="Arial"/>
          <w:b/>
          <w:spacing w:val="1"/>
          <w:sz w:val="22"/>
          <w:szCs w:val="22"/>
        </w:rPr>
        <w:t xml:space="preserve">  |   </w:t>
      </w:r>
      <w:r w:rsidR="00777135">
        <w:rPr>
          <w:rFonts w:ascii="Arial" w:hAnsi="Arial" w:cs="Arial"/>
          <w:b/>
          <w:spacing w:val="1"/>
          <w:sz w:val="22"/>
          <w:szCs w:val="22"/>
        </w:rPr>
        <w:t>25</w:t>
      </w:r>
      <w:r w:rsidR="008F482B" w:rsidRPr="007D282C">
        <w:rPr>
          <w:rFonts w:ascii="Arial" w:hAnsi="Arial" w:cs="Arial"/>
          <w:b/>
          <w:spacing w:val="1"/>
          <w:sz w:val="22"/>
          <w:szCs w:val="22"/>
        </w:rPr>
        <w:t>.</w:t>
      </w:r>
      <w:r w:rsidR="0037306E">
        <w:rPr>
          <w:rFonts w:ascii="Arial" w:hAnsi="Arial" w:cs="Arial"/>
          <w:b/>
          <w:spacing w:val="1"/>
          <w:sz w:val="22"/>
          <w:szCs w:val="22"/>
        </w:rPr>
        <w:t>11</w:t>
      </w:r>
      <w:r w:rsidR="008F5FE4" w:rsidRPr="007D282C">
        <w:rPr>
          <w:rFonts w:ascii="Arial" w:hAnsi="Arial" w:cs="Arial"/>
          <w:b/>
          <w:spacing w:val="1"/>
          <w:sz w:val="22"/>
          <w:szCs w:val="22"/>
        </w:rPr>
        <w:t>.2016</w:t>
      </w:r>
    </w:p>
    <w:p w:rsidR="007625C8" w:rsidRPr="007D282C" w:rsidRDefault="007625C8" w:rsidP="007625C8">
      <w:pPr>
        <w:spacing w:after="0" w:line="240" w:lineRule="auto"/>
        <w:contextualSpacing/>
        <w:rPr>
          <w:rFonts w:ascii="Arial" w:hAnsi="Arial" w:cs="Arial"/>
        </w:rPr>
      </w:pPr>
    </w:p>
    <w:p w:rsidR="00D92B7B" w:rsidRPr="007D282C" w:rsidRDefault="00EB5698" w:rsidP="008D45D8">
      <w:pPr>
        <w:pStyle w:val="berschrift1"/>
        <w:spacing w:line="276" w:lineRule="auto"/>
        <w:rPr>
          <w:rFonts w:ascii="Arial" w:hAnsi="Arial" w:cs="Arial"/>
          <w:sz w:val="22"/>
          <w:szCs w:val="22"/>
        </w:rPr>
      </w:pPr>
      <w:r w:rsidRPr="007D282C">
        <w:rPr>
          <w:rFonts w:ascii="Arial" w:hAnsi="Arial" w:cs="Arial"/>
          <w:sz w:val="22"/>
          <w:szCs w:val="22"/>
        </w:rPr>
        <w:t>Wöhr</w:t>
      </w:r>
      <w:r w:rsidR="00A95460" w:rsidRPr="007D282C">
        <w:rPr>
          <w:rFonts w:ascii="Arial" w:hAnsi="Arial" w:cs="Arial"/>
          <w:sz w:val="22"/>
          <w:szCs w:val="22"/>
        </w:rPr>
        <w:t>®</w:t>
      </w:r>
      <w:r w:rsidR="008F482B" w:rsidRPr="007D282C">
        <w:rPr>
          <w:rFonts w:ascii="Arial" w:hAnsi="Arial" w:cs="Arial"/>
          <w:sz w:val="22"/>
          <w:szCs w:val="22"/>
        </w:rPr>
        <w:t xml:space="preserve"> erweitert seine Hutschienengehäuseserie</w:t>
      </w:r>
      <w:r w:rsidR="000B2F8B" w:rsidRPr="007D282C">
        <w:rPr>
          <w:rFonts w:ascii="Arial" w:hAnsi="Arial" w:cs="Arial"/>
          <w:sz w:val="22"/>
          <w:szCs w:val="22"/>
        </w:rPr>
        <w:t xml:space="preserve"> aus Kunststoff</w:t>
      </w:r>
      <w:r w:rsidR="008030B8" w:rsidRPr="007D282C">
        <w:rPr>
          <w:rFonts w:ascii="Arial" w:hAnsi="Arial" w:cs="Arial"/>
          <w:sz w:val="22"/>
          <w:szCs w:val="22"/>
        </w:rPr>
        <w:t xml:space="preserve"> um zwei neue Serie</w:t>
      </w:r>
      <w:r w:rsidR="00033886">
        <w:rPr>
          <w:rFonts w:ascii="Arial" w:hAnsi="Arial" w:cs="Arial"/>
          <w:sz w:val="22"/>
          <w:szCs w:val="22"/>
        </w:rPr>
        <w:t>n</w:t>
      </w:r>
      <w:r w:rsidR="008030B8" w:rsidRPr="007D282C">
        <w:rPr>
          <w:rFonts w:ascii="Arial" w:hAnsi="Arial" w:cs="Arial"/>
          <w:sz w:val="22"/>
          <w:szCs w:val="22"/>
        </w:rPr>
        <w:t xml:space="preserve"> </w:t>
      </w:r>
    </w:p>
    <w:p w:rsidR="00EB5698" w:rsidRPr="007D282C" w:rsidRDefault="007A39F9" w:rsidP="00D92B7B">
      <w:pPr>
        <w:pStyle w:val="berschrift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neue </w:t>
      </w:r>
      <w:r w:rsidR="00A93161" w:rsidRPr="007D282C">
        <w:rPr>
          <w:rFonts w:ascii="Arial" w:hAnsi="Arial" w:cs="Arial"/>
          <w:sz w:val="22"/>
          <w:szCs w:val="22"/>
        </w:rPr>
        <w:t>Serie</w:t>
      </w:r>
      <w:r>
        <w:rPr>
          <w:rFonts w:ascii="Arial" w:hAnsi="Arial" w:cs="Arial"/>
          <w:sz w:val="22"/>
          <w:szCs w:val="22"/>
        </w:rPr>
        <w:t xml:space="preserve"> HL</w:t>
      </w:r>
      <w:r w:rsidR="00F829CC" w:rsidRPr="007D282C">
        <w:rPr>
          <w:rFonts w:ascii="Arial" w:hAnsi="Arial" w:cs="Arial"/>
          <w:sz w:val="22"/>
          <w:szCs w:val="22"/>
        </w:rPr>
        <w:t xml:space="preserve"> bietet mehr Platz </w:t>
      </w:r>
      <w:r w:rsidR="008F482B" w:rsidRPr="007D282C">
        <w:rPr>
          <w:rFonts w:ascii="Arial" w:hAnsi="Arial" w:cs="Arial"/>
          <w:sz w:val="22"/>
          <w:szCs w:val="22"/>
        </w:rPr>
        <w:t>für Stecker und breite Komponenten</w:t>
      </w:r>
      <w:r w:rsidR="00B52BB1" w:rsidRPr="007D282C">
        <w:rPr>
          <w:rFonts w:ascii="Arial" w:hAnsi="Arial" w:cs="Arial"/>
          <w:sz w:val="22"/>
          <w:szCs w:val="22"/>
        </w:rPr>
        <w:t xml:space="preserve"> -</w:t>
      </w:r>
      <w:r w:rsidR="00680675" w:rsidRPr="007D282C">
        <w:rPr>
          <w:rFonts w:ascii="Arial" w:hAnsi="Arial" w:cs="Arial"/>
          <w:sz w:val="22"/>
          <w:szCs w:val="22"/>
        </w:rPr>
        <w:t xml:space="preserve"> sowohl horizontal als auch vertikal</w:t>
      </w:r>
      <w:r w:rsidR="00A93161" w:rsidRPr="007D282C">
        <w:rPr>
          <w:rFonts w:ascii="Arial" w:hAnsi="Arial" w:cs="Arial"/>
          <w:sz w:val="22"/>
          <w:szCs w:val="22"/>
        </w:rPr>
        <w:t xml:space="preserve"> und die neue Serie M22 </w:t>
      </w:r>
      <w:r w:rsidR="002924DE">
        <w:rPr>
          <w:rFonts w:ascii="Arial" w:hAnsi="Arial" w:cs="Arial"/>
          <w:sz w:val="22"/>
          <w:szCs w:val="22"/>
        </w:rPr>
        <w:t>bietet ein kos</w:t>
      </w:r>
      <w:r w:rsidR="00607EB8">
        <w:rPr>
          <w:rFonts w:ascii="Arial" w:hAnsi="Arial" w:cs="Arial"/>
          <w:sz w:val="22"/>
          <w:szCs w:val="22"/>
        </w:rPr>
        <w:t xml:space="preserve">tengünstiges Montageprinzip sowie </w:t>
      </w:r>
      <w:r w:rsidR="00A93161" w:rsidRPr="007D282C">
        <w:rPr>
          <w:rFonts w:ascii="Arial" w:hAnsi="Arial" w:cs="Arial"/>
          <w:sz w:val="22"/>
          <w:szCs w:val="22"/>
        </w:rPr>
        <w:t>Platz für zwei Leiterplatten</w:t>
      </w:r>
      <w:r w:rsidR="00607EB8">
        <w:rPr>
          <w:rFonts w:ascii="Arial" w:hAnsi="Arial" w:cs="Arial"/>
          <w:sz w:val="22"/>
          <w:szCs w:val="22"/>
        </w:rPr>
        <w:t xml:space="preserve"> </w:t>
      </w:r>
      <w:r w:rsidR="00607EB8" w:rsidRPr="007D282C">
        <w:rPr>
          <w:rFonts w:ascii="Arial" w:hAnsi="Arial" w:cs="Arial"/>
          <w:sz w:val="22"/>
          <w:szCs w:val="22"/>
        </w:rPr>
        <w:t>trotz flacher Form</w:t>
      </w:r>
      <w:r w:rsidR="00133B1F">
        <w:rPr>
          <w:rFonts w:ascii="Arial" w:hAnsi="Arial" w:cs="Arial"/>
          <w:sz w:val="22"/>
          <w:szCs w:val="22"/>
        </w:rPr>
        <w:t>.</w:t>
      </w:r>
    </w:p>
    <w:p w:rsidR="00F829CC" w:rsidRPr="007D282C" w:rsidRDefault="00F829CC" w:rsidP="00F829CC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t xml:space="preserve">Die </w:t>
      </w:r>
      <w:r w:rsidRPr="005C05DE">
        <w:rPr>
          <w:rFonts w:ascii="Arial" w:hAnsi="Arial" w:cs="Arial"/>
        </w:rPr>
        <w:t xml:space="preserve">Serie </w:t>
      </w:r>
      <w:r w:rsidR="007A39F9">
        <w:rPr>
          <w:rFonts w:ascii="Arial" w:hAnsi="Arial" w:cs="Arial"/>
        </w:rPr>
        <w:t>HL</w:t>
      </w:r>
      <w:r w:rsidRPr="007D282C">
        <w:rPr>
          <w:rFonts w:ascii="Arial" w:hAnsi="Arial" w:cs="Arial"/>
        </w:rPr>
        <w:t xml:space="preserve"> bietet</w:t>
      </w:r>
      <w:r w:rsidR="000B2F8B" w:rsidRPr="007D282C">
        <w:rPr>
          <w:rFonts w:ascii="Arial" w:hAnsi="Arial" w:cs="Arial"/>
        </w:rPr>
        <w:t xml:space="preserve"> im Vergleich zu den bisher verfügbaren Hutschienengehäusen</w:t>
      </w:r>
      <w:r w:rsidRPr="007D282C">
        <w:rPr>
          <w:rFonts w:ascii="Arial" w:hAnsi="Arial" w:cs="Arial"/>
        </w:rPr>
        <w:t xml:space="preserve"> mehr Platz im Innenraum</w:t>
      </w:r>
      <w:r w:rsidR="005A707B">
        <w:rPr>
          <w:rFonts w:ascii="Arial" w:hAnsi="Arial" w:cs="Arial"/>
        </w:rPr>
        <w:t xml:space="preserve"> und an den Seitenflächen</w:t>
      </w:r>
      <w:r w:rsidRPr="007D282C">
        <w:rPr>
          <w:rFonts w:ascii="Arial" w:hAnsi="Arial" w:cs="Arial"/>
        </w:rPr>
        <w:t xml:space="preserve"> für größere Komponenten</w:t>
      </w:r>
      <w:r w:rsidR="00A91B27" w:rsidRPr="007D282C">
        <w:rPr>
          <w:rFonts w:ascii="Arial" w:hAnsi="Arial" w:cs="Arial"/>
        </w:rPr>
        <w:t xml:space="preserve"> und Stecker. Diese Serie</w:t>
      </w:r>
      <w:r w:rsidRPr="007D282C">
        <w:rPr>
          <w:rFonts w:ascii="Arial" w:hAnsi="Arial" w:cs="Arial"/>
        </w:rPr>
        <w:t xml:space="preserve"> wurde in sechs Größen ausgearbeitet</w:t>
      </w:r>
      <w:r w:rsidR="00A91B27" w:rsidRPr="007D282C">
        <w:rPr>
          <w:rFonts w:ascii="Arial" w:hAnsi="Arial" w:cs="Arial"/>
        </w:rPr>
        <w:t xml:space="preserve"> -</w:t>
      </w:r>
      <w:r w:rsidRPr="007D282C">
        <w:rPr>
          <w:rFonts w:ascii="Arial" w:hAnsi="Arial" w:cs="Arial"/>
        </w:rPr>
        <w:t xml:space="preserve"> von 2- bis 12-Modulen, aktuell verfügbar ist die 6 –</w:t>
      </w:r>
      <w:r w:rsidR="007645EC">
        <w:rPr>
          <w:rFonts w:ascii="Arial" w:hAnsi="Arial" w:cs="Arial"/>
        </w:rPr>
        <w:t xml:space="preserve"> </w:t>
      </w:r>
      <w:r w:rsidRPr="007D282C">
        <w:rPr>
          <w:rFonts w:ascii="Arial" w:hAnsi="Arial" w:cs="Arial"/>
        </w:rPr>
        <w:t xml:space="preserve">Modul Version, </w:t>
      </w:r>
      <w:r w:rsidR="007D3826" w:rsidRPr="007D282C">
        <w:rPr>
          <w:rFonts w:ascii="Arial" w:hAnsi="Arial" w:cs="Arial"/>
        </w:rPr>
        <w:t>weitere</w:t>
      </w:r>
      <w:r w:rsidR="00A91B27" w:rsidRPr="007D282C">
        <w:rPr>
          <w:rFonts w:ascii="Arial" w:hAnsi="Arial" w:cs="Arial"/>
        </w:rPr>
        <w:t xml:space="preserve"> Größen</w:t>
      </w:r>
      <w:r w:rsidRPr="007D282C">
        <w:rPr>
          <w:rFonts w:ascii="Arial" w:hAnsi="Arial" w:cs="Arial"/>
        </w:rPr>
        <w:t xml:space="preserve"> werden </w:t>
      </w:r>
      <w:r w:rsidR="00A91B27" w:rsidRPr="007D282C">
        <w:rPr>
          <w:rFonts w:ascii="Arial" w:hAnsi="Arial" w:cs="Arial"/>
        </w:rPr>
        <w:t xml:space="preserve"> i</w:t>
      </w:r>
      <w:r w:rsidR="007D3826" w:rsidRPr="007D282C">
        <w:rPr>
          <w:rFonts w:ascii="Arial" w:hAnsi="Arial" w:cs="Arial"/>
        </w:rPr>
        <w:t>n Kürze folgen.</w:t>
      </w:r>
    </w:p>
    <w:p w:rsidR="004441D9" w:rsidRPr="007D282C" w:rsidRDefault="004441D9" w:rsidP="004441D9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t xml:space="preserve">Dieser Mehrplatz kann genutzt werden, um </w:t>
      </w:r>
      <w:r w:rsidR="000B2F8B" w:rsidRPr="007D282C">
        <w:rPr>
          <w:rFonts w:ascii="Arial" w:hAnsi="Arial" w:cs="Arial"/>
        </w:rPr>
        <w:t>Leiterplatten</w:t>
      </w:r>
      <w:r w:rsidR="00A91B27" w:rsidRPr="007D282C">
        <w:rPr>
          <w:rFonts w:ascii="Arial" w:hAnsi="Arial" w:cs="Arial"/>
        </w:rPr>
        <w:t xml:space="preserve"> vertikal oder horizontal</w:t>
      </w:r>
      <w:r w:rsidRPr="007D282C">
        <w:rPr>
          <w:rFonts w:ascii="Arial" w:hAnsi="Arial" w:cs="Arial"/>
        </w:rPr>
        <w:t xml:space="preserve"> zu verbauen</w:t>
      </w:r>
      <w:r w:rsidR="00A91B27" w:rsidRPr="007D282C">
        <w:rPr>
          <w:rFonts w:ascii="Arial" w:hAnsi="Arial" w:cs="Arial"/>
        </w:rPr>
        <w:t>.</w:t>
      </w:r>
      <w:r w:rsidR="000B2F8B" w:rsidRPr="007D282C">
        <w:rPr>
          <w:rFonts w:ascii="Arial" w:hAnsi="Arial" w:cs="Arial"/>
        </w:rPr>
        <w:t xml:space="preserve"> </w:t>
      </w:r>
      <w:r w:rsidR="00A91B27" w:rsidRPr="007D282C">
        <w:rPr>
          <w:rFonts w:ascii="Arial" w:hAnsi="Arial" w:cs="Arial"/>
        </w:rPr>
        <w:t xml:space="preserve">Die Gehäuseteile werden standardmäßig in </w:t>
      </w:r>
      <w:proofErr w:type="gramStart"/>
      <w:r w:rsidR="00A91B27" w:rsidRPr="007D282C">
        <w:rPr>
          <w:rFonts w:ascii="Arial" w:hAnsi="Arial" w:cs="Arial"/>
        </w:rPr>
        <w:t>lichtgrau</w:t>
      </w:r>
      <w:proofErr w:type="gramEnd"/>
      <w:r w:rsidR="00A91B27" w:rsidRPr="007D282C">
        <w:rPr>
          <w:rFonts w:ascii="Arial" w:hAnsi="Arial" w:cs="Arial"/>
        </w:rPr>
        <w:t xml:space="preserve"> (RAL 7035)</w:t>
      </w:r>
      <w:r w:rsidR="000B2F8B" w:rsidRPr="007D282C">
        <w:rPr>
          <w:rFonts w:ascii="Arial" w:hAnsi="Arial" w:cs="Arial"/>
        </w:rPr>
        <w:t xml:space="preserve"> geliefert </w:t>
      </w:r>
      <w:r w:rsidR="00A91B27" w:rsidRPr="007D282C">
        <w:rPr>
          <w:rFonts w:ascii="Arial" w:hAnsi="Arial" w:cs="Arial"/>
        </w:rPr>
        <w:t>und sind selbstlöschend nach UL94-V</w:t>
      </w:r>
      <w:r w:rsidR="000B2F8B" w:rsidRPr="007D282C">
        <w:rPr>
          <w:rFonts w:ascii="Arial" w:hAnsi="Arial" w:cs="Arial"/>
        </w:rPr>
        <w:t>0. Darüber hinaus hält das Gehäuse ein</w:t>
      </w:r>
      <w:r w:rsidR="00576F9C" w:rsidRPr="007D282C">
        <w:rPr>
          <w:rFonts w:ascii="Arial" w:hAnsi="Arial" w:cs="Arial"/>
        </w:rPr>
        <w:t>er max. Spannung von 36A stand und kann durch das</w:t>
      </w:r>
      <w:r w:rsidRPr="007D282C">
        <w:rPr>
          <w:rFonts w:ascii="Arial" w:hAnsi="Arial" w:cs="Arial"/>
        </w:rPr>
        <w:t xml:space="preserve"> „Snap-In-Design</w:t>
      </w:r>
      <w:r w:rsidR="00671B95" w:rsidRPr="007D282C">
        <w:rPr>
          <w:rFonts w:ascii="Arial" w:hAnsi="Arial" w:cs="Arial"/>
        </w:rPr>
        <w:t>“</w:t>
      </w:r>
      <w:r w:rsidR="00576F9C" w:rsidRPr="007D282C">
        <w:rPr>
          <w:rFonts w:ascii="Arial" w:hAnsi="Arial" w:cs="Arial"/>
        </w:rPr>
        <w:t xml:space="preserve"> schnell montiert werden.</w:t>
      </w:r>
      <w:r w:rsidR="00671B95" w:rsidRPr="007D282C">
        <w:rPr>
          <w:rFonts w:ascii="Arial" w:hAnsi="Arial" w:cs="Arial"/>
        </w:rPr>
        <w:t xml:space="preserve"> </w:t>
      </w:r>
    </w:p>
    <w:p w:rsidR="00F829CC" w:rsidRPr="007D282C" w:rsidRDefault="00F829CC" w:rsidP="00F829CC">
      <w:pPr>
        <w:spacing w:after="0"/>
        <w:jc w:val="both"/>
        <w:rPr>
          <w:rFonts w:ascii="Arial" w:hAnsi="Arial" w:cs="Arial"/>
        </w:rPr>
      </w:pPr>
    </w:p>
    <w:p w:rsidR="005D3ED5" w:rsidRPr="007D282C" w:rsidRDefault="00185C10" w:rsidP="00185C10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t>Eine geschlossene Version ohne</w:t>
      </w:r>
      <w:r w:rsidR="005A707B">
        <w:rPr>
          <w:rFonts w:ascii="Arial" w:hAnsi="Arial" w:cs="Arial"/>
        </w:rPr>
        <w:t xml:space="preserve"> vorgefertigte</w:t>
      </w:r>
      <w:r w:rsidRPr="007D282C">
        <w:rPr>
          <w:rFonts w:ascii="Arial" w:hAnsi="Arial" w:cs="Arial"/>
        </w:rPr>
        <w:t xml:space="preserve"> </w:t>
      </w:r>
      <w:proofErr w:type="spellStart"/>
      <w:r w:rsidRPr="007D282C">
        <w:rPr>
          <w:rFonts w:ascii="Arial" w:hAnsi="Arial" w:cs="Arial"/>
        </w:rPr>
        <w:t>Klemmen</w:t>
      </w:r>
      <w:r w:rsidR="005A707B">
        <w:rPr>
          <w:rFonts w:ascii="Arial" w:hAnsi="Arial" w:cs="Arial"/>
        </w:rPr>
        <w:t>ausbrüchee</w:t>
      </w:r>
      <w:proofErr w:type="spellEnd"/>
      <w:r w:rsidRPr="007D282C">
        <w:rPr>
          <w:rFonts w:ascii="Arial" w:hAnsi="Arial" w:cs="Arial"/>
        </w:rPr>
        <w:t xml:space="preserve"> ist ebenfalls lieferbar. </w:t>
      </w:r>
    </w:p>
    <w:p w:rsidR="004C6474" w:rsidRPr="007D282C" w:rsidRDefault="004C6474" w:rsidP="00573485">
      <w:pPr>
        <w:spacing w:after="0"/>
        <w:jc w:val="both"/>
        <w:rPr>
          <w:rFonts w:ascii="Arial" w:hAnsi="Arial" w:cs="Arial"/>
        </w:rPr>
      </w:pPr>
    </w:p>
    <w:p w:rsidR="00831DEF" w:rsidRDefault="00185C10" w:rsidP="00573485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t>Die</w:t>
      </w:r>
      <w:r w:rsidR="004C6474" w:rsidRPr="007D282C">
        <w:rPr>
          <w:rFonts w:ascii="Arial" w:hAnsi="Arial" w:cs="Arial"/>
        </w:rPr>
        <w:t xml:space="preserve"> Hutschienengehäuse der Serie M22</w:t>
      </w:r>
      <w:r w:rsidR="00420C85">
        <w:rPr>
          <w:rFonts w:ascii="Arial" w:hAnsi="Arial" w:cs="Arial"/>
        </w:rPr>
        <w:t xml:space="preserve"> ermöglichen durch ein simples Einrastverfahren eine schnelle und folglich kostengünstige Montage des Gehäuses. Darüber hinaus </w:t>
      </w:r>
      <w:r w:rsidR="00831DEF">
        <w:rPr>
          <w:rFonts w:ascii="Arial" w:hAnsi="Arial" w:cs="Arial"/>
        </w:rPr>
        <w:t>bietet</w:t>
      </w:r>
      <w:r w:rsidR="00420C85">
        <w:rPr>
          <w:rFonts w:ascii="Arial" w:hAnsi="Arial" w:cs="Arial"/>
        </w:rPr>
        <w:t xml:space="preserve"> dieses Design</w:t>
      </w:r>
      <w:r w:rsidR="00831DEF">
        <w:rPr>
          <w:rFonts w:ascii="Arial" w:hAnsi="Arial" w:cs="Arial"/>
        </w:rPr>
        <w:t xml:space="preserve"> die Möglichkeit problemlos</w:t>
      </w:r>
      <w:r w:rsidR="00420C85">
        <w:rPr>
          <w:rFonts w:ascii="Arial" w:hAnsi="Arial" w:cs="Arial"/>
        </w:rPr>
        <w:t xml:space="preserve"> </w:t>
      </w:r>
      <w:r w:rsidR="00831DEF">
        <w:rPr>
          <w:rFonts w:ascii="Arial" w:hAnsi="Arial" w:cs="Arial"/>
        </w:rPr>
        <w:t xml:space="preserve">auf der </w:t>
      </w:r>
      <w:r w:rsidR="00420C85">
        <w:rPr>
          <w:rFonts w:ascii="Arial" w:hAnsi="Arial" w:cs="Arial"/>
        </w:rPr>
        <w:t>Leiterplatte</w:t>
      </w:r>
      <w:r w:rsidR="00831DEF">
        <w:rPr>
          <w:rFonts w:ascii="Arial" w:hAnsi="Arial" w:cs="Arial"/>
        </w:rPr>
        <w:t xml:space="preserve"> zu montieren und zu löten</w:t>
      </w:r>
      <w:r w:rsidR="00420C85">
        <w:rPr>
          <w:rFonts w:ascii="Arial" w:hAnsi="Arial" w:cs="Arial"/>
        </w:rPr>
        <w:t xml:space="preserve">. </w:t>
      </w:r>
      <w:r w:rsidR="00831DEF">
        <w:rPr>
          <w:rFonts w:ascii="Arial" w:hAnsi="Arial" w:cs="Arial"/>
        </w:rPr>
        <w:t>Trotz de</w:t>
      </w:r>
      <w:r w:rsidR="004C6474" w:rsidRPr="007D282C">
        <w:rPr>
          <w:rFonts w:ascii="Arial" w:hAnsi="Arial" w:cs="Arial"/>
        </w:rPr>
        <w:t>r flachen Form</w:t>
      </w:r>
      <w:r w:rsidR="00831DEF">
        <w:rPr>
          <w:rFonts w:ascii="Arial" w:hAnsi="Arial" w:cs="Arial"/>
        </w:rPr>
        <w:t xml:space="preserve"> hat es</w:t>
      </w:r>
      <w:r w:rsidR="004C6474" w:rsidRPr="007D282C">
        <w:rPr>
          <w:rFonts w:ascii="Arial" w:hAnsi="Arial" w:cs="Arial"/>
        </w:rPr>
        <w:t xml:space="preserve"> Platz für zwei Leiterplatten,</w:t>
      </w:r>
      <w:r w:rsidR="00FF6ED7" w:rsidRPr="007D282C">
        <w:rPr>
          <w:rFonts w:ascii="Arial" w:hAnsi="Arial" w:cs="Arial"/>
        </w:rPr>
        <w:t xml:space="preserve"> welche </w:t>
      </w:r>
      <w:r w:rsidR="007645EC">
        <w:rPr>
          <w:rFonts w:ascii="Arial" w:hAnsi="Arial" w:cs="Arial"/>
        </w:rPr>
        <w:t>im Deck</w:t>
      </w:r>
      <w:r w:rsidR="004C6474" w:rsidRPr="007D282C">
        <w:rPr>
          <w:rFonts w:ascii="Arial" w:hAnsi="Arial" w:cs="Arial"/>
        </w:rPr>
        <w:t>e</w:t>
      </w:r>
      <w:r w:rsidR="007645EC">
        <w:rPr>
          <w:rFonts w:ascii="Arial" w:hAnsi="Arial" w:cs="Arial"/>
        </w:rPr>
        <w:t>l</w:t>
      </w:r>
      <w:r w:rsidR="004C6474" w:rsidRPr="007D282C">
        <w:rPr>
          <w:rFonts w:ascii="Arial" w:hAnsi="Arial" w:cs="Arial"/>
        </w:rPr>
        <w:t xml:space="preserve"> und</w:t>
      </w:r>
      <w:r w:rsidR="00831DEF">
        <w:rPr>
          <w:rFonts w:ascii="Arial" w:hAnsi="Arial" w:cs="Arial"/>
        </w:rPr>
        <w:t>/</w:t>
      </w:r>
      <w:r w:rsidR="00FF6ED7" w:rsidRPr="007D282C">
        <w:rPr>
          <w:rFonts w:ascii="Arial" w:hAnsi="Arial" w:cs="Arial"/>
        </w:rPr>
        <w:t>oder</w:t>
      </w:r>
      <w:r w:rsidR="004C6474" w:rsidRPr="007D282C">
        <w:rPr>
          <w:rFonts w:ascii="Arial" w:hAnsi="Arial" w:cs="Arial"/>
        </w:rPr>
        <w:t xml:space="preserve"> im </w:t>
      </w:r>
      <w:r w:rsidR="00A17E8D" w:rsidRPr="007D282C">
        <w:rPr>
          <w:rFonts w:ascii="Arial" w:hAnsi="Arial" w:cs="Arial"/>
        </w:rPr>
        <w:t>Unterteil</w:t>
      </w:r>
      <w:r w:rsidR="00FF6ED7" w:rsidRPr="007D282C">
        <w:rPr>
          <w:rFonts w:ascii="Arial" w:hAnsi="Arial" w:cs="Arial"/>
        </w:rPr>
        <w:t xml:space="preserve"> durch </w:t>
      </w:r>
      <w:r w:rsidR="00831DEF">
        <w:rPr>
          <w:rFonts w:ascii="Arial" w:hAnsi="Arial" w:cs="Arial"/>
        </w:rPr>
        <w:t>Einrasten</w:t>
      </w:r>
      <w:r w:rsidR="00FF6ED7" w:rsidRPr="007D282C">
        <w:rPr>
          <w:rFonts w:ascii="Arial" w:hAnsi="Arial" w:cs="Arial"/>
        </w:rPr>
        <w:t xml:space="preserve"> angebracht werden können</w:t>
      </w:r>
      <w:r w:rsidR="00A17E8D" w:rsidRPr="007D282C">
        <w:rPr>
          <w:rFonts w:ascii="Arial" w:hAnsi="Arial" w:cs="Arial"/>
        </w:rPr>
        <w:t>.</w:t>
      </w:r>
      <w:r w:rsidR="00831DEF">
        <w:rPr>
          <w:rFonts w:ascii="Arial" w:hAnsi="Arial" w:cs="Arial"/>
        </w:rPr>
        <w:t xml:space="preserve"> Da das Gehäuse aus Einzelteilen besteht, kann es mühelos bearbeitet werden</w:t>
      </w:r>
      <w:r w:rsidR="00133B1F">
        <w:rPr>
          <w:rFonts w:ascii="Arial" w:hAnsi="Arial" w:cs="Arial"/>
        </w:rPr>
        <w:t>.</w:t>
      </w:r>
    </w:p>
    <w:p w:rsidR="004C6474" w:rsidRPr="007D282C" w:rsidRDefault="00A17E8D" w:rsidP="00573485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t xml:space="preserve">Auch dieses Gehäuse wird standardmäßig in UL94-V0 in grau geliefert. </w:t>
      </w:r>
      <w:r w:rsidR="00FF6ED7" w:rsidRPr="007D282C">
        <w:rPr>
          <w:rFonts w:ascii="Arial" w:hAnsi="Arial" w:cs="Arial"/>
        </w:rPr>
        <w:t>Das Gehäuse als auch die Deckel sind auf Anfrage in weiteren Farben</w:t>
      </w:r>
      <w:r w:rsidR="00185C10" w:rsidRPr="007D282C">
        <w:rPr>
          <w:rFonts w:ascii="Arial" w:hAnsi="Arial" w:cs="Arial"/>
        </w:rPr>
        <w:t xml:space="preserve"> oder in</w:t>
      </w:r>
      <w:r w:rsidR="007A39F9">
        <w:rPr>
          <w:rFonts w:ascii="Arial" w:hAnsi="Arial" w:cs="Arial"/>
        </w:rPr>
        <w:t xml:space="preserve"> Transparent erhältlich.</w:t>
      </w:r>
    </w:p>
    <w:p w:rsidR="004D6E53" w:rsidRPr="007D282C" w:rsidRDefault="004D6E53" w:rsidP="00573485">
      <w:pPr>
        <w:spacing w:after="0"/>
        <w:jc w:val="both"/>
        <w:rPr>
          <w:rFonts w:ascii="Arial" w:hAnsi="Arial" w:cs="Arial"/>
        </w:rPr>
      </w:pPr>
    </w:p>
    <w:p w:rsidR="00185C10" w:rsidRPr="007D282C" w:rsidRDefault="00185C10" w:rsidP="00185C10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t xml:space="preserve">Bei Bedarf gibt es beide Modulgehäuse mit kundenspezifischen Bohrungen für Stecker und Anschlussklemmen. Diese sind ebenso im Standardprogramm verfügbar. </w:t>
      </w:r>
      <w:r w:rsidR="007A39F9">
        <w:rPr>
          <w:rFonts w:ascii="Arial" w:hAnsi="Arial" w:cs="Arial"/>
        </w:rPr>
        <w:t>Auf Anfrage sind w</w:t>
      </w:r>
      <w:r w:rsidRPr="007D282C">
        <w:rPr>
          <w:rFonts w:ascii="Arial" w:hAnsi="Arial" w:cs="Arial"/>
        </w:rPr>
        <w:t>e</w:t>
      </w:r>
      <w:r w:rsidR="007A39F9">
        <w:rPr>
          <w:rFonts w:ascii="Arial" w:hAnsi="Arial" w:cs="Arial"/>
        </w:rPr>
        <w:t xml:space="preserve">itere Deckel, </w:t>
      </w:r>
      <w:r w:rsidRPr="007D282C">
        <w:rPr>
          <w:rFonts w:ascii="Arial" w:hAnsi="Arial" w:cs="Arial"/>
        </w:rPr>
        <w:t>Leiterplatten so</w:t>
      </w:r>
      <w:r w:rsidR="007A39F9">
        <w:rPr>
          <w:rFonts w:ascii="Arial" w:hAnsi="Arial" w:cs="Arial"/>
        </w:rPr>
        <w:t xml:space="preserve">wie kundenspezifische Aufkleber, </w:t>
      </w:r>
      <w:r w:rsidRPr="007D282C">
        <w:rPr>
          <w:rFonts w:ascii="Arial" w:hAnsi="Arial" w:cs="Arial"/>
        </w:rPr>
        <w:t>Potentiometer und Spinde</w:t>
      </w:r>
      <w:r w:rsidR="007A39F9">
        <w:rPr>
          <w:rFonts w:ascii="Arial" w:hAnsi="Arial" w:cs="Arial"/>
        </w:rPr>
        <w:t xml:space="preserve">ln entsprechend der Gehäusehöhe </w:t>
      </w:r>
      <w:r w:rsidRPr="007D282C">
        <w:rPr>
          <w:rFonts w:ascii="Arial" w:hAnsi="Arial" w:cs="Arial"/>
        </w:rPr>
        <w:t>erhältlich.</w:t>
      </w:r>
    </w:p>
    <w:p w:rsidR="00185C10" w:rsidRPr="007D282C" w:rsidRDefault="00185C10" w:rsidP="00573485">
      <w:pPr>
        <w:spacing w:after="0"/>
        <w:jc w:val="both"/>
        <w:rPr>
          <w:rFonts w:ascii="Arial" w:hAnsi="Arial" w:cs="Arial"/>
        </w:rPr>
      </w:pPr>
    </w:p>
    <w:p w:rsidR="007A39F9" w:rsidRDefault="007A39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0C80" w:rsidRPr="007D282C" w:rsidRDefault="00980C80" w:rsidP="00573485">
      <w:pPr>
        <w:spacing w:after="0"/>
        <w:jc w:val="both"/>
        <w:rPr>
          <w:rFonts w:ascii="Arial" w:hAnsi="Arial" w:cs="Arial"/>
        </w:rPr>
      </w:pPr>
    </w:p>
    <w:p w:rsidR="00973BA7" w:rsidRPr="007D282C" w:rsidRDefault="00973BA7" w:rsidP="00573485">
      <w:pPr>
        <w:spacing w:after="0"/>
        <w:jc w:val="both"/>
        <w:rPr>
          <w:rFonts w:ascii="Arial" w:hAnsi="Arial" w:cs="Arial"/>
        </w:rPr>
      </w:pPr>
    </w:p>
    <w:p w:rsidR="00EB5698" w:rsidRPr="007D282C" w:rsidRDefault="00EB5698" w:rsidP="005001F3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  <w:b/>
        </w:rPr>
        <w:t>Technische Daten</w:t>
      </w:r>
      <w:r w:rsidR="007D3826" w:rsidRPr="007D282C">
        <w:rPr>
          <w:rFonts w:ascii="Arial" w:hAnsi="Arial" w:cs="Arial"/>
          <w:b/>
        </w:rPr>
        <w:t xml:space="preserve"> Serie</w:t>
      </w:r>
      <w:r w:rsidR="007A39F9">
        <w:rPr>
          <w:rFonts w:ascii="Arial" w:hAnsi="Arial" w:cs="Arial"/>
          <w:b/>
        </w:rPr>
        <w:t xml:space="preserve"> HL</w:t>
      </w:r>
      <w:r w:rsidRPr="007D282C">
        <w:rPr>
          <w:rFonts w:ascii="Arial" w:hAnsi="Arial" w:cs="Arial"/>
          <w:b/>
        </w:rPr>
        <w:t xml:space="preserve">: </w:t>
      </w:r>
    </w:p>
    <w:p w:rsidR="00EB5698" w:rsidRPr="007D282C" w:rsidRDefault="00EB5698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4"/>
        <w:gridCol w:w="4014"/>
      </w:tblGrid>
      <w:tr w:rsidR="00185C10" w:rsidRPr="0037306E" w:rsidTr="00967A74">
        <w:tc>
          <w:tcPr>
            <w:tcW w:w="8028" w:type="dxa"/>
            <w:gridSpan w:val="2"/>
          </w:tcPr>
          <w:p w:rsidR="00185C10" w:rsidRPr="007D282C" w:rsidRDefault="00185C10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  <w:b/>
              </w:rPr>
              <w:t>Oberteil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Material</w:t>
            </w:r>
          </w:p>
        </w:tc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D282C">
              <w:rPr>
                <w:rFonts w:ascii="Arial" w:hAnsi="Arial" w:cs="Arial"/>
              </w:rPr>
              <w:t>Lexan</w:t>
            </w:r>
            <w:proofErr w:type="spellEnd"/>
            <w:r w:rsidRPr="007D282C">
              <w:rPr>
                <w:rFonts w:ascii="Arial" w:hAnsi="Arial" w:cs="Arial"/>
              </w:rPr>
              <w:t xml:space="preserve"> 940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Farbe</w:t>
            </w:r>
          </w:p>
        </w:tc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Grau (RAL 7035)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Max. Temperatur</w:t>
            </w:r>
          </w:p>
        </w:tc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100°C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Breite</w:t>
            </w:r>
          </w:p>
        </w:tc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105 mm (6 Module)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D282C">
              <w:rPr>
                <w:rFonts w:ascii="Arial" w:hAnsi="Arial" w:cs="Arial"/>
              </w:rPr>
              <w:t>Aufklebergröße</w:t>
            </w:r>
            <w:proofErr w:type="spellEnd"/>
          </w:p>
        </w:tc>
        <w:tc>
          <w:tcPr>
            <w:tcW w:w="4014" w:type="dxa"/>
          </w:tcPr>
          <w:p w:rsidR="008F482B" w:rsidRPr="007D282C" w:rsidRDefault="004D6E5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41.0 x 100.0 mm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Brennverhalten</w:t>
            </w:r>
          </w:p>
        </w:tc>
        <w:tc>
          <w:tcPr>
            <w:tcW w:w="4014" w:type="dxa"/>
          </w:tcPr>
          <w:p w:rsidR="008F482B" w:rsidRPr="007D282C" w:rsidRDefault="004D6E5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Gemäß UL94-VO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IP-Schutz</w:t>
            </w:r>
          </w:p>
        </w:tc>
        <w:tc>
          <w:tcPr>
            <w:tcW w:w="4014" w:type="dxa"/>
          </w:tcPr>
          <w:p w:rsidR="008F482B" w:rsidRPr="007D282C" w:rsidRDefault="004D6E5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IP 20</w:t>
            </w:r>
          </w:p>
        </w:tc>
      </w:tr>
      <w:tr w:rsidR="00185C10" w:rsidRPr="0037306E" w:rsidTr="00667F1A">
        <w:tc>
          <w:tcPr>
            <w:tcW w:w="8028" w:type="dxa"/>
            <w:gridSpan w:val="2"/>
          </w:tcPr>
          <w:p w:rsidR="00185C10" w:rsidRPr="007D282C" w:rsidRDefault="00185C10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  <w:b/>
              </w:rPr>
              <w:t>Unterteil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Material</w:t>
            </w:r>
          </w:p>
        </w:tc>
        <w:tc>
          <w:tcPr>
            <w:tcW w:w="4014" w:type="dxa"/>
          </w:tcPr>
          <w:p w:rsidR="008F482B" w:rsidRPr="007D282C" w:rsidRDefault="004D6E5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D282C">
              <w:rPr>
                <w:rFonts w:ascii="Arial" w:hAnsi="Arial" w:cs="Arial"/>
              </w:rPr>
              <w:t>Noryl</w:t>
            </w:r>
            <w:proofErr w:type="spellEnd"/>
            <w:r w:rsidRPr="007D282C">
              <w:rPr>
                <w:rFonts w:ascii="Arial" w:hAnsi="Arial" w:cs="Arial"/>
              </w:rPr>
              <w:t xml:space="preserve"> VO 1550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Farbe</w:t>
            </w:r>
          </w:p>
        </w:tc>
        <w:tc>
          <w:tcPr>
            <w:tcW w:w="4014" w:type="dxa"/>
          </w:tcPr>
          <w:p w:rsidR="008F482B" w:rsidRPr="007D282C" w:rsidRDefault="004D6E5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Tiefschwarz (RAL 9005)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Max. Temperatur</w:t>
            </w:r>
          </w:p>
        </w:tc>
        <w:tc>
          <w:tcPr>
            <w:tcW w:w="4014" w:type="dxa"/>
          </w:tcPr>
          <w:p w:rsidR="008F482B" w:rsidRPr="007D282C" w:rsidRDefault="004D6E5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100°C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Max. Nennstrom</w:t>
            </w:r>
          </w:p>
        </w:tc>
        <w:tc>
          <w:tcPr>
            <w:tcW w:w="4014" w:type="dxa"/>
          </w:tcPr>
          <w:p w:rsidR="008F482B" w:rsidRPr="007D282C" w:rsidRDefault="00F72872" w:rsidP="00F72872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10A</w:t>
            </w:r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Klemmen</w:t>
            </w:r>
          </w:p>
        </w:tc>
        <w:tc>
          <w:tcPr>
            <w:tcW w:w="4014" w:type="dxa"/>
          </w:tcPr>
          <w:p w:rsidR="008F482B" w:rsidRPr="007D282C" w:rsidRDefault="004D6E5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 xml:space="preserve">36 schraub- oder </w:t>
            </w:r>
            <w:proofErr w:type="spellStart"/>
            <w:r w:rsidRPr="007D282C">
              <w:rPr>
                <w:rFonts w:ascii="Arial" w:hAnsi="Arial" w:cs="Arial"/>
              </w:rPr>
              <w:t>steckbar</w:t>
            </w:r>
            <w:proofErr w:type="spellEnd"/>
          </w:p>
        </w:tc>
      </w:tr>
      <w:tr w:rsidR="008F482B" w:rsidRPr="0037306E" w:rsidTr="008F482B">
        <w:tc>
          <w:tcPr>
            <w:tcW w:w="4014" w:type="dxa"/>
          </w:tcPr>
          <w:p w:rsidR="008F482B" w:rsidRPr="007D282C" w:rsidRDefault="008F482B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Brennverhalten</w:t>
            </w:r>
          </w:p>
        </w:tc>
        <w:tc>
          <w:tcPr>
            <w:tcW w:w="4014" w:type="dxa"/>
          </w:tcPr>
          <w:p w:rsidR="008F482B" w:rsidRPr="007D282C" w:rsidRDefault="004D6E53" w:rsidP="00EB5698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Gemäß UL94-VO</w:t>
            </w:r>
          </w:p>
        </w:tc>
      </w:tr>
    </w:tbl>
    <w:p w:rsidR="00573485" w:rsidRPr="007D282C" w:rsidRDefault="00573485" w:rsidP="00EB5698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185C10" w:rsidRPr="007D282C" w:rsidRDefault="00185C10" w:rsidP="001D1327">
      <w:pPr>
        <w:spacing w:after="0"/>
        <w:jc w:val="both"/>
        <w:rPr>
          <w:rFonts w:ascii="Arial" w:hAnsi="Arial" w:cs="Arial"/>
        </w:rPr>
      </w:pPr>
    </w:p>
    <w:p w:rsidR="00185C10" w:rsidRPr="007D282C" w:rsidRDefault="00185C10" w:rsidP="001D1327">
      <w:pPr>
        <w:spacing w:after="0"/>
        <w:jc w:val="both"/>
        <w:rPr>
          <w:rFonts w:ascii="Arial" w:hAnsi="Arial" w:cs="Arial"/>
          <w:b/>
        </w:rPr>
      </w:pPr>
      <w:r w:rsidRPr="007D282C">
        <w:rPr>
          <w:rFonts w:ascii="Arial" w:hAnsi="Arial" w:cs="Arial"/>
          <w:b/>
        </w:rPr>
        <w:t>Technische Daten Serie M22:</w:t>
      </w:r>
    </w:p>
    <w:p w:rsidR="00185C10" w:rsidRPr="007D282C" w:rsidRDefault="00185C10" w:rsidP="001D1327">
      <w:pPr>
        <w:spacing w:after="0"/>
        <w:jc w:val="both"/>
        <w:rPr>
          <w:rFonts w:ascii="Arial" w:hAnsi="Arial" w:cs="Arial"/>
          <w:b/>
        </w:rPr>
      </w:pPr>
    </w:p>
    <w:p w:rsidR="00185C10" w:rsidRPr="007D282C" w:rsidRDefault="00185C10" w:rsidP="001D132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4"/>
        <w:gridCol w:w="4014"/>
      </w:tblGrid>
      <w:tr w:rsidR="00185C10" w:rsidRPr="007D282C" w:rsidTr="00940E3C">
        <w:tc>
          <w:tcPr>
            <w:tcW w:w="8028" w:type="dxa"/>
            <w:gridSpan w:val="2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  <w:b/>
              </w:rPr>
              <w:t>Oberteil</w:t>
            </w:r>
          </w:p>
        </w:tc>
      </w:tr>
      <w:tr w:rsidR="00185C10" w:rsidRPr="007D282C" w:rsidTr="00940E3C"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Material</w:t>
            </w:r>
          </w:p>
        </w:tc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D282C">
              <w:rPr>
                <w:rFonts w:ascii="Arial" w:hAnsi="Arial" w:cs="Arial"/>
              </w:rPr>
              <w:t>Lexan</w:t>
            </w:r>
            <w:proofErr w:type="spellEnd"/>
            <w:r w:rsidRPr="007D282C">
              <w:rPr>
                <w:rFonts w:ascii="Arial" w:hAnsi="Arial" w:cs="Arial"/>
              </w:rPr>
              <w:t xml:space="preserve"> 940</w:t>
            </w:r>
          </w:p>
        </w:tc>
      </w:tr>
      <w:tr w:rsidR="00185C10" w:rsidRPr="007D282C" w:rsidTr="00940E3C"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Farbe</w:t>
            </w:r>
          </w:p>
        </w:tc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Grau (RAL 7035)</w:t>
            </w:r>
          </w:p>
        </w:tc>
      </w:tr>
      <w:tr w:rsidR="00185C10" w:rsidRPr="007D282C" w:rsidTr="00940E3C"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Max. Temperatur</w:t>
            </w:r>
          </w:p>
        </w:tc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100°C</w:t>
            </w:r>
          </w:p>
        </w:tc>
      </w:tr>
      <w:tr w:rsidR="00185C10" w:rsidRPr="007D282C" w:rsidTr="00940E3C"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Breite</w:t>
            </w:r>
          </w:p>
        </w:tc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22,5mm (1,5 Module)</w:t>
            </w:r>
          </w:p>
        </w:tc>
      </w:tr>
      <w:tr w:rsidR="00185C10" w:rsidRPr="007D282C" w:rsidTr="00940E3C"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7D282C">
              <w:rPr>
                <w:rFonts w:ascii="Arial" w:hAnsi="Arial" w:cs="Arial"/>
              </w:rPr>
              <w:t>Aufklebergröße</w:t>
            </w:r>
            <w:proofErr w:type="spellEnd"/>
          </w:p>
        </w:tc>
        <w:tc>
          <w:tcPr>
            <w:tcW w:w="4014" w:type="dxa"/>
          </w:tcPr>
          <w:p w:rsidR="00185C10" w:rsidRPr="007D282C" w:rsidRDefault="00185C10" w:rsidP="00185C10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41.8 x 11,8 mm</w:t>
            </w:r>
          </w:p>
        </w:tc>
      </w:tr>
      <w:tr w:rsidR="00185C10" w:rsidRPr="007D282C" w:rsidTr="00940E3C"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Brennverhalten</w:t>
            </w:r>
          </w:p>
        </w:tc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Gemäß UL94-VO</w:t>
            </w:r>
          </w:p>
        </w:tc>
      </w:tr>
      <w:tr w:rsidR="00185C10" w:rsidRPr="007D282C" w:rsidTr="00940E3C"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IP-Schutz</w:t>
            </w:r>
          </w:p>
        </w:tc>
        <w:tc>
          <w:tcPr>
            <w:tcW w:w="4014" w:type="dxa"/>
          </w:tcPr>
          <w:p w:rsidR="00185C10" w:rsidRPr="007D282C" w:rsidRDefault="00185C10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IP 20</w:t>
            </w:r>
          </w:p>
        </w:tc>
      </w:tr>
      <w:tr w:rsidR="00185C10" w:rsidRPr="007D282C" w:rsidTr="00940E3C">
        <w:tc>
          <w:tcPr>
            <w:tcW w:w="4014" w:type="dxa"/>
          </w:tcPr>
          <w:p w:rsidR="00185C10" w:rsidRPr="007D282C" w:rsidRDefault="00D014C4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Max. Kabeldurchmesser</w:t>
            </w:r>
          </w:p>
        </w:tc>
        <w:tc>
          <w:tcPr>
            <w:tcW w:w="4014" w:type="dxa"/>
          </w:tcPr>
          <w:p w:rsidR="00185C10" w:rsidRPr="007D282C" w:rsidRDefault="00D014C4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2 x 2,5 mm</w:t>
            </w:r>
          </w:p>
        </w:tc>
      </w:tr>
      <w:tr w:rsidR="00D014C4" w:rsidRPr="007D282C" w:rsidTr="00940E3C">
        <w:tc>
          <w:tcPr>
            <w:tcW w:w="4014" w:type="dxa"/>
          </w:tcPr>
          <w:p w:rsidR="00D014C4" w:rsidRPr="007D282C" w:rsidRDefault="00D014C4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Max. Nennstrom</w:t>
            </w:r>
          </w:p>
        </w:tc>
        <w:tc>
          <w:tcPr>
            <w:tcW w:w="4014" w:type="dxa"/>
          </w:tcPr>
          <w:p w:rsidR="00D014C4" w:rsidRPr="007D282C" w:rsidRDefault="00D014C4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16A</w:t>
            </w:r>
          </w:p>
        </w:tc>
      </w:tr>
      <w:tr w:rsidR="00D014C4" w:rsidRPr="007D282C" w:rsidTr="00940E3C">
        <w:tc>
          <w:tcPr>
            <w:tcW w:w="4014" w:type="dxa"/>
          </w:tcPr>
          <w:p w:rsidR="00D014C4" w:rsidRPr="007D282C" w:rsidRDefault="00D014C4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>Klemmen</w:t>
            </w:r>
          </w:p>
        </w:tc>
        <w:tc>
          <w:tcPr>
            <w:tcW w:w="4014" w:type="dxa"/>
          </w:tcPr>
          <w:p w:rsidR="00D014C4" w:rsidRPr="007D282C" w:rsidRDefault="00D014C4" w:rsidP="00940E3C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7D282C">
              <w:rPr>
                <w:rFonts w:ascii="Arial" w:hAnsi="Arial" w:cs="Arial"/>
              </w:rPr>
              <w:t xml:space="preserve">2 x 16 schraub- oder </w:t>
            </w:r>
            <w:proofErr w:type="spellStart"/>
            <w:r w:rsidRPr="007D282C">
              <w:rPr>
                <w:rFonts w:ascii="Arial" w:hAnsi="Arial" w:cs="Arial"/>
              </w:rPr>
              <w:t>steckbar</w:t>
            </w:r>
            <w:proofErr w:type="spellEnd"/>
          </w:p>
        </w:tc>
      </w:tr>
    </w:tbl>
    <w:p w:rsidR="00185C10" w:rsidRPr="007D282C" w:rsidRDefault="00185C10" w:rsidP="001D1327">
      <w:pPr>
        <w:spacing w:after="0"/>
        <w:jc w:val="both"/>
        <w:rPr>
          <w:rFonts w:ascii="Arial" w:hAnsi="Arial" w:cs="Arial"/>
          <w:b/>
        </w:rPr>
      </w:pPr>
    </w:p>
    <w:p w:rsidR="004D6E53" w:rsidRPr="007D282C" w:rsidRDefault="001D1327" w:rsidP="001D1327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lastRenderedPageBreak/>
        <w:t>Weitere Informatio</w:t>
      </w:r>
      <w:r w:rsidR="004D6E53" w:rsidRPr="007D282C">
        <w:rPr>
          <w:rFonts w:ascii="Arial" w:hAnsi="Arial" w:cs="Arial"/>
        </w:rPr>
        <w:t>nen unter:</w:t>
      </w:r>
    </w:p>
    <w:p w:rsidR="001D1327" w:rsidRPr="007D282C" w:rsidRDefault="00BD0ACC" w:rsidP="001D1327">
      <w:pPr>
        <w:spacing w:after="0"/>
        <w:jc w:val="both"/>
        <w:rPr>
          <w:rFonts w:ascii="Arial" w:hAnsi="Arial" w:cs="Arial"/>
        </w:rPr>
      </w:pPr>
      <w:hyperlink r:id="rId9" w:history="1">
        <w:r w:rsidR="00F519CD" w:rsidRPr="007D282C">
          <w:rPr>
            <w:rStyle w:val="Hyperlink"/>
            <w:color w:val="009DA2"/>
            <w:sz w:val="22"/>
            <w:szCs w:val="22"/>
          </w:rPr>
          <w:t>www.</w:t>
        </w:r>
      </w:hyperlink>
      <w:r w:rsidR="004D6E53" w:rsidRPr="007D282C">
        <w:rPr>
          <w:rStyle w:val="Hyperlink"/>
          <w:color w:val="009DA2"/>
          <w:sz w:val="22"/>
          <w:szCs w:val="22"/>
        </w:rPr>
        <w:t>industriegehaeuse.de/kunststoff-gehaeuse/hutschienengehaeuse</w:t>
      </w:r>
    </w:p>
    <w:p w:rsidR="000E6D3D" w:rsidRPr="007D282C" w:rsidRDefault="000E6D3D" w:rsidP="00EB5698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1910B5" w:rsidRPr="007D282C" w:rsidRDefault="003A4F1C" w:rsidP="008D45D8">
      <w:pPr>
        <w:spacing w:after="0"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t xml:space="preserve">Die Richard Wöhr GmbH ist ein mittelständisches </w:t>
      </w:r>
      <w:r w:rsidR="0032151B" w:rsidRPr="007D282C">
        <w:rPr>
          <w:rFonts w:ascii="Arial" w:hAnsi="Arial" w:cs="Arial"/>
        </w:rPr>
        <w:t>Familienu</w:t>
      </w:r>
      <w:r w:rsidRPr="007D282C">
        <w:rPr>
          <w:rFonts w:ascii="Arial" w:hAnsi="Arial" w:cs="Arial"/>
        </w:rPr>
        <w:t>nternehme</w:t>
      </w:r>
      <w:r w:rsidR="005A707B">
        <w:rPr>
          <w:rFonts w:ascii="Arial" w:hAnsi="Arial" w:cs="Arial"/>
        </w:rPr>
        <w:t>n im Nordschwarzwald. Mit über 90</w:t>
      </w:r>
      <w:r w:rsidRPr="007D282C">
        <w:rPr>
          <w:rFonts w:ascii="Arial" w:hAnsi="Arial" w:cs="Arial"/>
        </w:rPr>
        <w:t xml:space="preserve"> Mitarbeitern entwickelt, </w:t>
      </w:r>
      <w:r w:rsidR="00365BCF" w:rsidRPr="007D282C">
        <w:rPr>
          <w:rFonts w:ascii="Arial" w:hAnsi="Arial" w:cs="Arial"/>
        </w:rPr>
        <w:t>fertigt</w:t>
      </w:r>
      <w:r w:rsidRPr="007D282C">
        <w:rPr>
          <w:rFonts w:ascii="Arial" w:hAnsi="Arial" w:cs="Arial"/>
        </w:rPr>
        <w:t xml:space="preserve"> und vertreibt das </w:t>
      </w:r>
      <w:r w:rsidR="0032151B" w:rsidRPr="007D282C">
        <w:rPr>
          <w:rFonts w:ascii="Arial" w:hAnsi="Arial" w:cs="Arial"/>
        </w:rPr>
        <w:t>U</w:t>
      </w:r>
      <w:r w:rsidRPr="007D282C">
        <w:rPr>
          <w:rFonts w:ascii="Arial" w:hAnsi="Arial" w:cs="Arial"/>
        </w:rPr>
        <w:t xml:space="preserve">nternehmen weltweit kundenspezifische Komplettlösungen. </w:t>
      </w:r>
      <w:r w:rsidR="0032151B" w:rsidRPr="007D282C">
        <w:rPr>
          <w:rFonts w:ascii="Arial" w:hAnsi="Arial" w:cs="Arial"/>
        </w:rPr>
        <w:t>Besonders Flacheingabesysteme</w:t>
      </w:r>
      <w:r w:rsidR="00215694" w:rsidRPr="007D282C">
        <w:rPr>
          <w:rFonts w:ascii="Arial" w:hAnsi="Arial" w:cs="Arial"/>
        </w:rPr>
        <w:t xml:space="preserve">, Folientastaturen, </w:t>
      </w:r>
      <w:r w:rsidR="0032151B" w:rsidRPr="007D282C">
        <w:rPr>
          <w:rFonts w:ascii="Arial" w:hAnsi="Arial" w:cs="Arial"/>
        </w:rPr>
        <w:t>Touch</w:t>
      </w:r>
      <w:r w:rsidR="00215694" w:rsidRPr="007D282C">
        <w:rPr>
          <w:rFonts w:ascii="Arial" w:hAnsi="Arial" w:cs="Arial"/>
        </w:rPr>
        <w:t>screens und</w:t>
      </w:r>
      <w:r w:rsidR="001910B5" w:rsidRPr="007D282C">
        <w:rPr>
          <w:rFonts w:ascii="Arial" w:hAnsi="Arial" w:cs="Arial"/>
        </w:rPr>
        <w:t xml:space="preserve"> Industriekomponenten für die Bereiche Steuern, Bedienen und Anzeigen sowie </w:t>
      </w:r>
      <w:r w:rsidR="0032151B" w:rsidRPr="007D282C">
        <w:rPr>
          <w:rFonts w:ascii="Arial" w:hAnsi="Arial" w:cs="Arial"/>
        </w:rPr>
        <w:t xml:space="preserve">Industriegehäuse für vielseitige Anwendungen. </w:t>
      </w:r>
    </w:p>
    <w:p w:rsidR="000E6D3D" w:rsidRPr="007D282C" w:rsidRDefault="000E6D3D" w:rsidP="008D45D8">
      <w:pPr>
        <w:spacing w:after="0"/>
        <w:jc w:val="both"/>
        <w:rPr>
          <w:rFonts w:ascii="Arial" w:hAnsi="Arial" w:cs="Arial"/>
        </w:rPr>
      </w:pPr>
    </w:p>
    <w:p w:rsidR="00193AFE" w:rsidRPr="007D282C" w:rsidRDefault="00193AFE" w:rsidP="008D45D8">
      <w:pPr>
        <w:spacing w:after="0"/>
        <w:jc w:val="both"/>
        <w:rPr>
          <w:rFonts w:ascii="Arial" w:hAnsi="Arial" w:cs="Arial"/>
        </w:rPr>
      </w:pPr>
    </w:p>
    <w:p w:rsidR="001910B5" w:rsidRPr="007D282C" w:rsidRDefault="001910B5" w:rsidP="00EB5698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7D282C">
        <w:rPr>
          <w:rFonts w:ascii="Arial" w:hAnsi="Arial" w:cs="Arial"/>
        </w:rPr>
        <w:t xml:space="preserve">Download dieser Pressemitteilung und weitere Informationen und Bilder unter </w:t>
      </w:r>
      <w:r w:rsidR="00F51E18" w:rsidRPr="00BD0ACC">
        <w:rPr>
          <w:rStyle w:val="Hyperlink"/>
          <w:color w:val="009DA2"/>
          <w:sz w:val="22"/>
          <w:szCs w:val="22"/>
        </w:rPr>
        <w:t>http://www.woehrgmbh.de/de/aktuelles-presse/pressecenter/</w:t>
      </w:r>
    </w:p>
    <w:p w:rsidR="003C1C57" w:rsidRPr="007D282C" w:rsidRDefault="005F062D" w:rsidP="00EB5698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7D282C">
        <w:rPr>
          <w:rFonts w:ascii="Arial" w:hAnsi="Arial" w:cs="Arial"/>
        </w:rPr>
        <w:br/>
      </w:r>
      <w:r w:rsidR="002127F1" w:rsidRPr="007D282C">
        <w:rPr>
          <w:rFonts w:ascii="Arial" w:hAnsi="Arial" w:cs="Arial"/>
          <w:spacing w:val="1"/>
        </w:rPr>
        <w:t xml:space="preserve">Weitere </w:t>
      </w:r>
      <w:r w:rsidR="003C1C57" w:rsidRPr="007D282C">
        <w:rPr>
          <w:rFonts w:ascii="Arial" w:hAnsi="Arial" w:cs="Arial"/>
          <w:spacing w:val="1"/>
        </w:rPr>
        <w:t>Informationen / Ansprechpartner</w:t>
      </w:r>
      <w:r w:rsidR="00166445" w:rsidRPr="007D282C">
        <w:rPr>
          <w:rFonts w:ascii="Arial" w:hAnsi="Arial" w:cs="Arial"/>
          <w:spacing w:val="1"/>
        </w:rPr>
        <w:t>:</w:t>
      </w:r>
      <w:bookmarkStart w:id="0" w:name="_GoBack"/>
      <w:bookmarkEnd w:id="0"/>
    </w:p>
    <w:p w:rsidR="003C1C57" w:rsidRPr="007D282C" w:rsidRDefault="003C1C57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  <w:r w:rsidRPr="007D282C">
        <w:rPr>
          <w:rFonts w:ascii="Arial" w:hAnsi="Arial" w:cs="Arial"/>
          <w:spacing w:val="1"/>
          <w:sz w:val="22"/>
          <w:szCs w:val="22"/>
        </w:rPr>
        <w:t>Richard Wöhr GmbH, Gräfenau 58-60, D-75339 Höfen / Enz</w:t>
      </w:r>
    </w:p>
    <w:p w:rsidR="00CA5188" w:rsidRPr="007D282C" w:rsidRDefault="003C1C57" w:rsidP="003C1C57">
      <w:pPr>
        <w:spacing w:after="0"/>
        <w:rPr>
          <w:rFonts w:ascii="Arial" w:hAnsi="Arial" w:cs="Arial"/>
          <w:spacing w:val="1"/>
        </w:rPr>
      </w:pPr>
      <w:r w:rsidRPr="007D282C">
        <w:rPr>
          <w:rFonts w:ascii="Arial" w:hAnsi="Arial" w:cs="Arial"/>
          <w:spacing w:val="1"/>
        </w:rPr>
        <w:t>Tel. (+49) 7081 95 40</w:t>
      </w:r>
      <w:r w:rsidR="00166445" w:rsidRPr="007D282C">
        <w:rPr>
          <w:rFonts w:ascii="Arial" w:hAnsi="Arial" w:cs="Arial"/>
          <w:spacing w:val="1"/>
        </w:rPr>
        <w:t xml:space="preserve"> - </w:t>
      </w:r>
      <w:r w:rsidRPr="007D282C">
        <w:rPr>
          <w:rFonts w:ascii="Arial" w:hAnsi="Arial" w:cs="Arial"/>
          <w:spacing w:val="1"/>
        </w:rPr>
        <w:t>0, Fax (+49) 7081 95 40 - 90,</w:t>
      </w:r>
      <w:r w:rsidR="00166445" w:rsidRPr="007D282C">
        <w:rPr>
          <w:rFonts w:ascii="Arial" w:hAnsi="Arial" w:cs="Arial"/>
          <w:spacing w:val="1"/>
        </w:rPr>
        <w:t xml:space="preserve"> </w:t>
      </w:r>
      <w:r w:rsidR="00E05E6D" w:rsidRPr="007D282C">
        <w:rPr>
          <w:rFonts w:ascii="Arial" w:hAnsi="Arial" w:cs="Arial"/>
          <w:spacing w:val="1"/>
        </w:rPr>
        <w:t xml:space="preserve">E-Mail: </w:t>
      </w:r>
      <w:hyperlink r:id="rId10" w:history="1">
        <w:r w:rsidR="003078BA" w:rsidRPr="007D282C">
          <w:rPr>
            <w:rStyle w:val="Hyperlink"/>
            <w:color w:val="009DA2"/>
            <w:spacing w:val="1"/>
            <w:sz w:val="22"/>
            <w:szCs w:val="22"/>
          </w:rPr>
          <w:t>K.Maier@WoehrGmbH.de</w:t>
        </w:r>
      </w:hyperlink>
    </w:p>
    <w:p w:rsidR="003078BA" w:rsidRPr="007D282C" w:rsidRDefault="003078BA" w:rsidP="008D45D8">
      <w:pPr>
        <w:rPr>
          <w:rFonts w:ascii="Arial" w:hAnsi="Arial" w:cs="Arial"/>
        </w:rPr>
      </w:pPr>
    </w:p>
    <w:sectPr w:rsidR="003078BA" w:rsidRPr="007D282C" w:rsidSect="003C1C57">
      <w:headerReference w:type="default" r:id="rId11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09" w:rsidRDefault="005C2509" w:rsidP="003C1C57">
      <w:pPr>
        <w:spacing w:after="0" w:line="240" w:lineRule="auto"/>
      </w:pPr>
      <w:r>
        <w:separator/>
      </w:r>
    </w:p>
  </w:endnote>
  <w:endnote w:type="continuationSeparator" w:id="0">
    <w:p w:rsidR="005C2509" w:rsidRDefault="005C2509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09" w:rsidRDefault="005C2509" w:rsidP="003C1C57">
      <w:pPr>
        <w:spacing w:after="0" w:line="240" w:lineRule="auto"/>
      </w:pPr>
      <w:r>
        <w:separator/>
      </w:r>
    </w:p>
  </w:footnote>
  <w:footnote w:type="continuationSeparator" w:id="0">
    <w:p w:rsidR="005C2509" w:rsidRDefault="005C2509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1CB"/>
    <w:multiLevelType w:val="hybridMultilevel"/>
    <w:tmpl w:val="A2DAF92E"/>
    <w:lvl w:ilvl="0" w:tplc="2634F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32968"/>
    <w:rsid w:val="00033886"/>
    <w:rsid w:val="00055A52"/>
    <w:rsid w:val="00060215"/>
    <w:rsid w:val="00087E4B"/>
    <w:rsid w:val="000927AC"/>
    <w:rsid w:val="0009340D"/>
    <w:rsid w:val="00096B06"/>
    <w:rsid w:val="000A69E1"/>
    <w:rsid w:val="000B1192"/>
    <w:rsid w:val="000B14DF"/>
    <w:rsid w:val="000B2F8B"/>
    <w:rsid w:val="000B4A80"/>
    <w:rsid w:val="000C31C3"/>
    <w:rsid w:val="000C53F7"/>
    <w:rsid w:val="000C5C40"/>
    <w:rsid w:val="000D2643"/>
    <w:rsid w:val="000D5567"/>
    <w:rsid w:val="000E6D3D"/>
    <w:rsid w:val="00106DB4"/>
    <w:rsid w:val="0011464F"/>
    <w:rsid w:val="0012777C"/>
    <w:rsid w:val="00127BA5"/>
    <w:rsid w:val="00133B1F"/>
    <w:rsid w:val="00141220"/>
    <w:rsid w:val="001644D0"/>
    <w:rsid w:val="00166445"/>
    <w:rsid w:val="001677A3"/>
    <w:rsid w:val="00182759"/>
    <w:rsid w:val="001836AF"/>
    <w:rsid w:val="00184C7E"/>
    <w:rsid w:val="00185C10"/>
    <w:rsid w:val="00190040"/>
    <w:rsid w:val="001910B5"/>
    <w:rsid w:val="00191AA8"/>
    <w:rsid w:val="00193AFE"/>
    <w:rsid w:val="001D1327"/>
    <w:rsid w:val="001E2027"/>
    <w:rsid w:val="001E5225"/>
    <w:rsid w:val="001F24BD"/>
    <w:rsid w:val="001F4D8E"/>
    <w:rsid w:val="00205956"/>
    <w:rsid w:val="002073E0"/>
    <w:rsid w:val="002127F1"/>
    <w:rsid w:val="00215694"/>
    <w:rsid w:val="00222D11"/>
    <w:rsid w:val="00267829"/>
    <w:rsid w:val="002924DE"/>
    <w:rsid w:val="002A0EF9"/>
    <w:rsid w:val="002A36BB"/>
    <w:rsid w:val="002D3800"/>
    <w:rsid w:val="002E7A78"/>
    <w:rsid w:val="002F45C0"/>
    <w:rsid w:val="002F543D"/>
    <w:rsid w:val="002F6676"/>
    <w:rsid w:val="0030328B"/>
    <w:rsid w:val="003078BA"/>
    <w:rsid w:val="0032151B"/>
    <w:rsid w:val="00327CC8"/>
    <w:rsid w:val="003334CB"/>
    <w:rsid w:val="003372D5"/>
    <w:rsid w:val="003462EC"/>
    <w:rsid w:val="00346FA9"/>
    <w:rsid w:val="00352133"/>
    <w:rsid w:val="00360BEA"/>
    <w:rsid w:val="003610B2"/>
    <w:rsid w:val="00365BCF"/>
    <w:rsid w:val="00365F44"/>
    <w:rsid w:val="003705CE"/>
    <w:rsid w:val="0037306E"/>
    <w:rsid w:val="00373180"/>
    <w:rsid w:val="0038434F"/>
    <w:rsid w:val="0038777F"/>
    <w:rsid w:val="00394180"/>
    <w:rsid w:val="003961EC"/>
    <w:rsid w:val="003A0A2B"/>
    <w:rsid w:val="003A4F1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20C85"/>
    <w:rsid w:val="00424EB6"/>
    <w:rsid w:val="00426728"/>
    <w:rsid w:val="00434979"/>
    <w:rsid w:val="00435162"/>
    <w:rsid w:val="004441D9"/>
    <w:rsid w:val="00453F96"/>
    <w:rsid w:val="0049500A"/>
    <w:rsid w:val="004A2DE5"/>
    <w:rsid w:val="004A3162"/>
    <w:rsid w:val="004A4274"/>
    <w:rsid w:val="004A4947"/>
    <w:rsid w:val="004B6A26"/>
    <w:rsid w:val="004C6474"/>
    <w:rsid w:val="004D003E"/>
    <w:rsid w:val="004D6E53"/>
    <w:rsid w:val="004E2AFD"/>
    <w:rsid w:val="004E7BFE"/>
    <w:rsid w:val="004F2443"/>
    <w:rsid w:val="005001F3"/>
    <w:rsid w:val="00507B6B"/>
    <w:rsid w:val="005133CD"/>
    <w:rsid w:val="005520CA"/>
    <w:rsid w:val="00552848"/>
    <w:rsid w:val="00553689"/>
    <w:rsid w:val="00560426"/>
    <w:rsid w:val="00566160"/>
    <w:rsid w:val="0057153A"/>
    <w:rsid w:val="005718E5"/>
    <w:rsid w:val="00573485"/>
    <w:rsid w:val="00576F9C"/>
    <w:rsid w:val="00585E3C"/>
    <w:rsid w:val="00592105"/>
    <w:rsid w:val="005A20AD"/>
    <w:rsid w:val="005A707B"/>
    <w:rsid w:val="005B501A"/>
    <w:rsid w:val="005C05DE"/>
    <w:rsid w:val="005C2509"/>
    <w:rsid w:val="005C337A"/>
    <w:rsid w:val="005D3ED5"/>
    <w:rsid w:val="005D3FD1"/>
    <w:rsid w:val="005E28F3"/>
    <w:rsid w:val="005E3421"/>
    <w:rsid w:val="005E3DD6"/>
    <w:rsid w:val="005F062D"/>
    <w:rsid w:val="005F3F94"/>
    <w:rsid w:val="00607EB8"/>
    <w:rsid w:val="006108FF"/>
    <w:rsid w:val="006375FB"/>
    <w:rsid w:val="00651847"/>
    <w:rsid w:val="00652A8F"/>
    <w:rsid w:val="00663F67"/>
    <w:rsid w:val="00667B6C"/>
    <w:rsid w:val="00671B95"/>
    <w:rsid w:val="00671E28"/>
    <w:rsid w:val="00673DCA"/>
    <w:rsid w:val="0067472F"/>
    <w:rsid w:val="00680675"/>
    <w:rsid w:val="006C2E57"/>
    <w:rsid w:val="006E55A4"/>
    <w:rsid w:val="00723D2B"/>
    <w:rsid w:val="00723E2A"/>
    <w:rsid w:val="00724DD8"/>
    <w:rsid w:val="00730F8A"/>
    <w:rsid w:val="0073734C"/>
    <w:rsid w:val="00746628"/>
    <w:rsid w:val="007538ED"/>
    <w:rsid w:val="0076117E"/>
    <w:rsid w:val="007625C8"/>
    <w:rsid w:val="00763247"/>
    <w:rsid w:val="007645EC"/>
    <w:rsid w:val="007649A4"/>
    <w:rsid w:val="00766A07"/>
    <w:rsid w:val="00773096"/>
    <w:rsid w:val="007744E2"/>
    <w:rsid w:val="007753D8"/>
    <w:rsid w:val="00777135"/>
    <w:rsid w:val="007831CC"/>
    <w:rsid w:val="0079032B"/>
    <w:rsid w:val="007A39F9"/>
    <w:rsid w:val="007B2E36"/>
    <w:rsid w:val="007C4EA3"/>
    <w:rsid w:val="007C7867"/>
    <w:rsid w:val="007D16F5"/>
    <w:rsid w:val="007D2284"/>
    <w:rsid w:val="007D282C"/>
    <w:rsid w:val="007D3826"/>
    <w:rsid w:val="007D55E5"/>
    <w:rsid w:val="007D6803"/>
    <w:rsid w:val="007E7AE5"/>
    <w:rsid w:val="008030B8"/>
    <w:rsid w:val="0082136F"/>
    <w:rsid w:val="00831DEF"/>
    <w:rsid w:val="008554E3"/>
    <w:rsid w:val="008728D7"/>
    <w:rsid w:val="0088233A"/>
    <w:rsid w:val="008960A1"/>
    <w:rsid w:val="008A3CAB"/>
    <w:rsid w:val="008B1FB7"/>
    <w:rsid w:val="008B669E"/>
    <w:rsid w:val="008C18C6"/>
    <w:rsid w:val="008C3759"/>
    <w:rsid w:val="008C5A58"/>
    <w:rsid w:val="008C707D"/>
    <w:rsid w:val="008D45D8"/>
    <w:rsid w:val="008D59E4"/>
    <w:rsid w:val="008E016E"/>
    <w:rsid w:val="008F063F"/>
    <w:rsid w:val="008F46A2"/>
    <w:rsid w:val="008F482B"/>
    <w:rsid w:val="008F4B92"/>
    <w:rsid w:val="008F5FE4"/>
    <w:rsid w:val="00921E69"/>
    <w:rsid w:val="00927297"/>
    <w:rsid w:val="00942E77"/>
    <w:rsid w:val="00973BA7"/>
    <w:rsid w:val="0097767F"/>
    <w:rsid w:val="00980C80"/>
    <w:rsid w:val="009A78B2"/>
    <w:rsid w:val="009B6B4A"/>
    <w:rsid w:val="009B710F"/>
    <w:rsid w:val="009C5499"/>
    <w:rsid w:val="009C64CD"/>
    <w:rsid w:val="009D277C"/>
    <w:rsid w:val="009E59F6"/>
    <w:rsid w:val="009F4F47"/>
    <w:rsid w:val="009F7E59"/>
    <w:rsid w:val="00A0091B"/>
    <w:rsid w:val="00A06376"/>
    <w:rsid w:val="00A17E8D"/>
    <w:rsid w:val="00A46BC6"/>
    <w:rsid w:val="00A521A4"/>
    <w:rsid w:val="00A66F40"/>
    <w:rsid w:val="00A815ED"/>
    <w:rsid w:val="00A874A1"/>
    <w:rsid w:val="00A91B27"/>
    <w:rsid w:val="00A93161"/>
    <w:rsid w:val="00A95460"/>
    <w:rsid w:val="00AD169B"/>
    <w:rsid w:val="00AF2058"/>
    <w:rsid w:val="00AF70D9"/>
    <w:rsid w:val="00AF7D64"/>
    <w:rsid w:val="00B10086"/>
    <w:rsid w:val="00B1104F"/>
    <w:rsid w:val="00B17EF2"/>
    <w:rsid w:val="00B367A1"/>
    <w:rsid w:val="00B406E2"/>
    <w:rsid w:val="00B52BB1"/>
    <w:rsid w:val="00B6309D"/>
    <w:rsid w:val="00B638AD"/>
    <w:rsid w:val="00B74941"/>
    <w:rsid w:val="00B757AB"/>
    <w:rsid w:val="00B956F7"/>
    <w:rsid w:val="00B9658D"/>
    <w:rsid w:val="00BA13D2"/>
    <w:rsid w:val="00BC0650"/>
    <w:rsid w:val="00BD0ACC"/>
    <w:rsid w:val="00BD11B9"/>
    <w:rsid w:val="00BE002A"/>
    <w:rsid w:val="00BE02F3"/>
    <w:rsid w:val="00BE468D"/>
    <w:rsid w:val="00BE51BD"/>
    <w:rsid w:val="00BE587D"/>
    <w:rsid w:val="00BE775F"/>
    <w:rsid w:val="00BF0247"/>
    <w:rsid w:val="00BF20D4"/>
    <w:rsid w:val="00C00B23"/>
    <w:rsid w:val="00C26B85"/>
    <w:rsid w:val="00C33408"/>
    <w:rsid w:val="00C546F7"/>
    <w:rsid w:val="00C579C1"/>
    <w:rsid w:val="00C61854"/>
    <w:rsid w:val="00C83289"/>
    <w:rsid w:val="00CA5188"/>
    <w:rsid w:val="00CC2766"/>
    <w:rsid w:val="00CE278B"/>
    <w:rsid w:val="00CE2F37"/>
    <w:rsid w:val="00CF2680"/>
    <w:rsid w:val="00CF3A61"/>
    <w:rsid w:val="00CF6616"/>
    <w:rsid w:val="00D014C4"/>
    <w:rsid w:val="00D03F80"/>
    <w:rsid w:val="00D07934"/>
    <w:rsid w:val="00D10BB7"/>
    <w:rsid w:val="00D120C4"/>
    <w:rsid w:val="00D3314B"/>
    <w:rsid w:val="00D60402"/>
    <w:rsid w:val="00D60845"/>
    <w:rsid w:val="00D64020"/>
    <w:rsid w:val="00D709AC"/>
    <w:rsid w:val="00D75395"/>
    <w:rsid w:val="00D75DA1"/>
    <w:rsid w:val="00D824BC"/>
    <w:rsid w:val="00D82632"/>
    <w:rsid w:val="00D875FE"/>
    <w:rsid w:val="00D87C75"/>
    <w:rsid w:val="00D92B7B"/>
    <w:rsid w:val="00DB22C8"/>
    <w:rsid w:val="00DB4B0C"/>
    <w:rsid w:val="00DD3170"/>
    <w:rsid w:val="00DE0171"/>
    <w:rsid w:val="00DF564F"/>
    <w:rsid w:val="00E05E6D"/>
    <w:rsid w:val="00E0649E"/>
    <w:rsid w:val="00E071DD"/>
    <w:rsid w:val="00E112C0"/>
    <w:rsid w:val="00E13B08"/>
    <w:rsid w:val="00E20CB4"/>
    <w:rsid w:val="00E23429"/>
    <w:rsid w:val="00E25323"/>
    <w:rsid w:val="00E2718F"/>
    <w:rsid w:val="00E371BE"/>
    <w:rsid w:val="00E37689"/>
    <w:rsid w:val="00E44917"/>
    <w:rsid w:val="00E51B8F"/>
    <w:rsid w:val="00E66FCC"/>
    <w:rsid w:val="00E71CEA"/>
    <w:rsid w:val="00E76F9D"/>
    <w:rsid w:val="00E82DFC"/>
    <w:rsid w:val="00E84F4A"/>
    <w:rsid w:val="00E8657C"/>
    <w:rsid w:val="00E902F2"/>
    <w:rsid w:val="00E93D35"/>
    <w:rsid w:val="00EB5698"/>
    <w:rsid w:val="00ED449F"/>
    <w:rsid w:val="00EE5875"/>
    <w:rsid w:val="00F1457A"/>
    <w:rsid w:val="00F148A4"/>
    <w:rsid w:val="00F15DBE"/>
    <w:rsid w:val="00F21696"/>
    <w:rsid w:val="00F26768"/>
    <w:rsid w:val="00F36704"/>
    <w:rsid w:val="00F519CD"/>
    <w:rsid w:val="00F51E18"/>
    <w:rsid w:val="00F61B90"/>
    <w:rsid w:val="00F62D7F"/>
    <w:rsid w:val="00F65C79"/>
    <w:rsid w:val="00F72872"/>
    <w:rsid w:val="00F75853"/>
    <w:rsid w:val="00F76924"/>
    <w:rsid w:val="00F829CC"/>
    <w:rsid w:val="00F85C1D"/>
    <w:rsid w:val="00F94367"/>
    <w:rsid w:val="00FC7224"/>
    <w:rsid w:val="00FD2BCA"/>
    <w:rsid w:val="00FE681B"/>
    <w:rsid w:val="00FF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Maier@WoehrGmb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9426-2B57-4C90-BD7C-12ED2493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3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27</cp:revision>
  <cp:lastPrinted>2016-11-18T10:23:00Z</cp:lastPrinted>
  <dcterms:created xsi:type="dcterms:W3CDTF">2016-10-26T13:50:00Z</dcterms:created>
  <dcterms:modified xsi:type="dcterms:W3CDTF">2016-11-24T09:24:00Z</dcterms:modified>
</cp:coreProperties>
</file>